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A4：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补办结婚登记情况说明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我们自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日以夫妻名义同居生活至今，从未在任何地方办理结婚登记手续，也未再与第三方办理结婚登记或以夫妻名义同居生活。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以夫妻名义同居生活前，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（男方姓名）婚姻状况是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（未婚、离婚、丧偶），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32"/>
        </w:rPr>
        <w:t>（女方姓名）婚姻状况是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（未婚、离婚、丧偶）。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我们上述声明完全真实，如有虚假，愿承担相应的法律责任。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已知晓：弄虚作假骗取离婚证的当事人，个人信息将作为“失信人”被列入“信用黑名单”，受到人民法院、教育、公安、司法、卫生计生、海关、税务、工商、人民银行、公务员局等多部门实施的联合惩戒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声明人：男方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女方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pacing w:line="600" w:lineRule="exact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日期：     年    月    日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94D30"/>
    <w:rsid w:val="302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2018-12-12T03:50:00Z</dcterms:created>
  <dc:creator>Krystal</dc:creator>
  <cp:lastModifiedBy>Krystal</cp:lastModifiedBy>
  <dcterms:modified xsi:type="dcterms:W3CDTF">2018-12-12T03:50:22Z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