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BAF97C">
      <w:pPr>
        <w:spacing w:after="624" w:afterLines="200" w:line="360" w:lineRule="auto"/>
        <w:ind w:firstLine="420" w:firstLineChars="200"/>
        <w:rPr>
          <w:rFonts w:hint="eastAsia"/>
          <w:sz w:val="21"/>
          <w:szCs w:val="21"/>
        </w:rPr>
      </w:pPr>
      <w:r>
        <w:rPr>
          <w:rFonts w:hint="eastAsia"/>
          <w:sz w:val="21"/>
          <w:szCs w:val="21"/>
        </w:rPr>
        <w:t>附件：遴选代理机构评分表</w:t>
      </w:r>
    </w:p>
    <w:p w14:paraId="48B7A59C">
      <w:pPr>
        <w:spacing w:after="0" w:line="360" w:lineRule="auto"/>
        <w:rPr>
          <w:rFonts w:hint="eastAsia"/>
          <w:sz w:val="21"/>
          <w:szCs w:val="21"/>
        </w:rPr>
      </w:pPr>
      <w:bookmarkStart w:id="2" w:name="_GoBack"/>
      <w:bookmarkEnd w:id="2"/>
      <w:r>
        <w:rPr>
          <w:rFonts w:hint="eastAsia"/>
          <w:sz w:val="21"/>
          <w:szCs w:val="21"/>
        </w:rPr>
        <w:t>附件：</w:t>
      </w:r>
    </w:p>
    <w:p w14:paraId="7B4741CF">
      <w:pPr>
        <w:spacing w:after="0" w:line="360" w:lineRule="auto"/>
        <w:jc w:val="center"/>
        <w:rPr>
          <w:rFonts w:hint="eastAsia"/>
          <w:sz w:val="30"/>
          <w:szCs w:val="30"/>
        </w:rPr>
      </w:pPr>
      <w:r>
        <w:rPr>
          <w:rFonts w:hint="eastAsia"/>
          <w:sz w:val="30"/>
          <w:szCs w:val="30"/>
        </w:rPr>
        <w:t>遴选代理机构评分表</w:t>
      </w:r>
    </w:p>
    <w:tbl>
      <w:tblPr>
        <w:tblStyle w:val="1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0"/>
        <w:gridCol w:w="1016"/>
        <w:gridCol w:w="7832"/>
        <w:gridCol w:w="684"/>
      </w:tblGrid>
      <w:tr w14:paraId="2F07A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216" w:type="pct"/>
            <w:vAlign w:val="center"/>
          </w:tcPr>
          <w:p w14:paraId="1EBF45B2">
            <w:pPr>
              <w:widowControl/>
              <w:spacing w:after="0" w:line="240" w:lineRule="auto"/>
              <w:jc w:val="center"/>
              <w:rPr>
                <w:rFonts w:hint="eastAsia" w:cs="宋体" w:asciiTheme="minorEastAsia" w:hAnsiTheme="minorEastAsia"/>
                <w:b/>
                <w:bCs/>
                <w:kern w:val="0"/>
                <w:sz w:val="18"/>
                <w:szCs w:val="18"/>
                <w14:ligatures w14:val="none"/>
              </w:rPr>
            </w:pPr>
            <w:r>
              <w:rPr>
                <w:rFonts w:hint="eastAsia" w:cs="宋体" w:asciiTheme="minorEastAsia" w:hAnsiTheme="minorEastAsia"/>
                <w:b/>
                <w:bCs/>
                <w:kern w:val="0"/>
                <w:sz w:val="18"/>
                <w:szCs w:val="18"/>
                <w14:ligatures w14:val="none"/>
              </w:rPr>
              <w:t>序号</w:t>
            </w:r>
          </w:p>
        </w:tc>
        <w:tc>
          <w:tcPr>
            <w:tcW w:w="510" w:type="pct"/>
            <w:vAlign w:val="center"/>
          </w:tcPr>
          <w:p w14:paraId="2AE17989">
            <w:pPr>
              <w:widowControl/>
              <w:spacing w:after="0" w:line="240" w:lineRule="auto"/>
              <w:jc w:val="center"/>
              <w:rPr>
                <w:rFonts w:hint="eastAsia" w:cs="宋体" w:asciiTheme="minorEastAsia" w:hAnsiTheme="minorEastAsia"/>
                <w:b/>
                <w:bCs/>
                <w:kern w:val="0"/>
                <w:sz w:val="18"/>
                <w:szCs w:val="18"/>
                <w14:ligatures w14:val="none"/>
              </w:rPr>
            </w:pPr>
            <w:r>
              <w:rPr>
                <w:rFonts w:hint="eastAsia" w:cs="宋体" w:asciiTheme="minorEastAsia" w:hAnsiTheme="minorEastAsia"/>
                <w:b/>
                <w:bCs/>
                <w:kern w:val="0"/>
                <w:sz w:val="18"/>
                <w:szCs w:val="18"/>
                <w14:ligatures w14:val="none"/>
              </w:rPr>
              <w:t>评审内容</w:t>
            </w:r>
          </w:p>
        </w:tc>
        <w:tc>
          <w:tcPr>
            <w:tcW w:w="3931" w:type="pct"/>
            <w:vAlign w:val="center"/>
          </w:tcPr>
          <w:p w14:paraId="27003544">
            <w:pPr>
              <w:widowControl/>
              <w:spacing w:after="0" w:line="240" w:lineRule="auto"/>
              <w:jc w:val="center"/>
              <w:rPr>
                <w:rFonts w:hint="eastAsia" w:cs="宋体" w:asciiTheme="minorEastAsia" w:hAnsiTheme="minorEastAsia"/>
                <w:b/>
                <w:bCs/>
                <w:kern w:val="0"/>
                <w:sz w:val="18"/>
                <w:szCs w:val="18"/>
                <w14:ligatures w14:val="none"/>
              </w:rPr>
            </w:pPr>
            <w:r>
              <w:rPr>
                <w:rFonts w:hint="eastAsia" w:cs="宋体" w:asciiTheme="minorEastAsia" w:hAnsiTheme="minorEastAsia"/>
                <w:b/>
                <w:bCs/>
                <w:kern w:val="0"/>
                <w:sz w:val="18"/>
                <w:szCs w:val="18"/>
                <w14:ligatures w14:val="none"/>
              </w:rPr>
              <w:t>评审指标</w:t>
            </w:r>
          </w:p>
        </w:tc>
        <w:tc>
          <w:tcPr>
            <w:tcW w:w="343" w:type="pct"/>
            <w:vAlign w:val="center"/>
          </w:tcPr>
          <w:p w14:paraId="4E0849E5">
            <w:pPr>
              <w:widowControl/>
              <w:spacing w:after="0" w:line="240" w:lineRule="auto"/>
              <w:jc w:val="center"/>
              <w:rPr>
                <w:rFonts w:hint="eastAsia" w:cs="宋体" w:asciiTheme="minorEastAsia" w:hAnsiTheme="minorEastAsia"/>
                <w:b/>
                <w:bCs/>
                <w:kern w:val="0"/>
                <w:sz w:val="18"/>
                <w:szCs w:val="18"/>
                <w14:ligatures w14:val="none"/>
              </w:rPr>
            </w:pPr>
            <w:r>
              <w:rPr>
                <w:rFonts w:hint="eastAsia" w:cs="宋体" w:asciiTheme="minorEastAsia" w:hAnsiTheme="minorEastAsia"/>
                <w:b/>
                <w:bCs/>
                <w:kern w:val="0"/>
                <w:sz w:val="18"/>
                <w:szCs w:val="18"/>
                <w14:ligatures w14:val="none"/>
              </w:rPr>
              <w:t>分值</w:t>
            </w:r>
          </w:p>
        </w:tc>
      </w:tr>
      <w:tr w14:paraId="736A6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216" w:type="pct"/>
            <w:vAlign w:val="center"/>
          </w:tcPr>
          <w:p w14:paraId="53C5626A">
            <w:pPr>
              <w:widowControl/>
              <w:spacing w:after="0" w:line="240" w:lineRule="auto"/>
              <w:jc w:val="center"/>
              <w:rPr>
                <w:rFonts w:hint="eastAsia" w:cs="宋体" w:asciiTheme="minorEastAsia" w:hAnsiTheme="minorEastAsia"/>
                <w:kern w:val="0"/>
                <w:sz w:val="18"/>
                <w:szCs w:val="18"/>
                <w14:ligatures w14:val="none"/>
              </w:rPr>
            </w:pPr>
            <w:r>
              <w:rPr>
                <w:rFonts w:hint="eastAsia" w:cs="宋体" w:asciiTheme="minorEastAsia" w:hAnsiTheme="minorEastAsia"/>
                <w:kern w:val="0"/>
                <w:sz w:val="18"/>
                <w:szCs w:val="18"/>
                <w14:ligatures w14:val="none"/>
              </w:rPr>
              <w:t>1</w:t>
            </w:r>
          </w:p>
        </w:tc>
        <w:tc>
          <w:tcPr>
            <w:tcW w:w="510" w:type="pct"/>
            <w:vAlign w:val="center"/>
          </w:tcPr>
          <w:p w14:paraId="565D68DA">
            <w:pPr>
              <w:spacing w:after="0" w:line="240" w:lineRule="auto"/>
              <w:jc w:val="center"/>
              <w:rPr>
                <w:rFonts w:hint="eastAsia" w:cs="宋体" w:asciiTheme="minorEastAsia" w:hAnsiTheme="minorEastAsia"/>
                <w:sz w:val="18"/>
                <w:szCs w:val="18"/>
                <w14:ligatures w14:val="none"/>
              </w:rPr>
            </w:pPr>
            <w:r>
              <w:rPr>
                <w:rFonts w:hint="eastAsia" w:cs="宋体" w:asciiTheme="minorEastAsia" w:hAnsiTheme="minorEastAsia"/>
                <w:sz w:val="18"/>
                <w:szCs w:val="18"/>
                <w14:ligatures w14:val="none"/>
              </w:rPr>
              <w:t>服务方案</w:t>
            </w:r>
          </w:p>
        </w:tc>
        <w:tc>
          <w:tcPr>
            <w:tcW w:w="3931" w:type="pct"/>
            <w:vAlign w:val="center"/>
          </w:tcPr>
          <w:p w14:paraId="588C660F">
            <w:pPr>
              <w:spacing w:after="0" w:line="240" w:lineRule="auto"/>
              <w:rPr>
                <w:rFonts w:hint="eastAsia" w:cs="宋体" w:asciiTheme="minorEastAsia" w:hAnsiTheme="minorEastAsia"/>
                <w:sz w:val="18"/>
                <w:szCs w:val="18"/>
                <w14:ligatures w14:val="none"/>
              </w:rPr>
            </w:pPr>
            <w:r>
              <w:rPr>
                <w:rFonts w:hint="eastAsia" w:cs="宋体" w:asciiTheme="minorEastAsia" w:hAnsiTheme="minorEastAsia"/>
                <w:sz w:val="18"/>
                <w:szCs w:val="18"/>
                <w14:ligatures w14:val="none"/>
              </w:rPr>
              <w:t>根据代理机构提供的服务方案进行评审。</w:t>
            </w:r>
          </w:p>
          <w:p w14:paraId="1D3438C0">
            <w:pPr>
              <w:spacing w:after="0" w:line="240" w:lineRule="auto"/>
              <w:rPr>
                <w:rFonts w:hint="eastAsia" w:cs="宋体" w:asciiTheme="minorEastAsia" w:hAnsiTheme="minorEastAsia"/>
                <w:sz w:val="18"/>
                <w:szCs w:val="18"/>
                <w14:ligatures w14:val="none"/>
              </w:rPr>
            </w:pPr>
            <w:r>
              <w:rPr>
                <w:rFonts w:hint="eastAsia" w:cs="宋体" w:asciiTheme="minorEastAsia" w:hAnsiTheme="minorEastAsia"/>
                <w:sz w:val="18"/>
                <w:szCs w:val="18"/>
                <w14:ligatures w14:val="none"/>
              </w:rPr>
              <w:t>1、服务方案专业规范、合理、可行，服务质量保证措施完善，满足项目实施需要的，得25-30分；</w:t>
            </w:r>
          </w:p>
          <w:p w14:paraId="7771D56B">
            <w:pPr>
              <w:spacing w:after="0" w:line="240" w:lineRule="auto"/>
              <w:rPr>
                <w:rFonts w:hint="eastAsia" w:cs="宋体" w:asciiTheme="minorEastAsia" w:hAnsiTheme="minorEastAsia"/>
                <w:sz w:val="18"/>
                <w:szCs w:val="18"/>
                <w14:ligatures w14:val="none"/>
              </w:rPr>
            </w:pPr>
            <w:r>
              <w:rPr>
                <w:rFonts w:hint="eastAsia" w:cs="宋体" w:asciiTheme="minorEastAsia" w:hAnsiTheme="minorEastAsia"/>
                <w:sz w:val="18"/>
                <w:szCs w:val="18"/>
                <w14:ligatures w14:val="none"/>
              </w:rPr>
              <w:t>2、服务方案较专业规范、较合理、较可行，服务质量保证措施较完善，较好满足项目实施需要的，得20-25分；</w:t>
            </w:r>
          </w:p>
          <w:p w14:paraId="6515687F">
            <w:pPr>
              <w:spacing w:after="0" w:line="240" w:lineRule="auto"/>
              <w:rPr>
                <w:rFonts w:hint="eastAsia" w:cs="宋体" w:asciiTheme="minorEastAsia" w:hAnsiTheme="minorEastAsia"/>
                <w:sz w:val="18"/>
                <w:szCs w:val="18"/>
                <w14:ligatures w14:val="none"/>
              </w:rPr>
            </w:pPr>
            <w:r>
              <w:rPr>
                <w:rFonts w:hint="eastAsia" w:cs="宋体" w:asciiTheme="minorEastAsia" w:hAnsiTheme="minorEastAsia"/>
                <w:sz w:val="18"/>
                <w:szCs w:val="18"/>
                <w14:ligatures w14:val="none"/>
              </w:rPr>
              <w:t>3、服务方案基本专业规范、基本合理、基本可行，服务质量保证措施基本完善，基本满足项目实施需要的，得15-20分；</w:t>
            </w:r>
          </w:p>
          <w:p w14:paraId="0156CF72">
            <w:pPr>
              <w:spacing w:after="0" w:line="240" w:lineRule="auto"/>
              <w:rPr>
                <w:rFonts w:hint="eastAsia" w:cs="宋体" w:asciiTheme="minorEastAsia" w:hAnsiTheme="minorEastAsia"/>
                <w:sz w:val="18"/>
                <w:szCs w:val="18"/>
                <w14:ligatures w14:val="none"/>
              </w:rPr>
            </w:pPr>
            <w:r>
              <w:rPr>
                <w:rFonts w:hint="eastAsia" w:cs="宋体" w:asciiTheme="minorEastAsia" w:hAnsiTheme="minorEastAsia"/>
                <w:sz w:val="18"/>
                <w:szCs w:val="18"/>
                <w14:ligatures w14:val="none"/>
              </w:rPr>
              <w:t>4、未提供服务方案的，得0分。</w:t>
            </w:r>
          </w:p>
        </w:tc>
        <w:tc>
          <w:tcPr>
            <w:tcW w:w="343" w:type="pct"/>
            <w:vAlign w:val="center"/>
          </w:tcPr>
          <w:p w14:paraId="7A60ECD3">
            <w:pPr>
              <w:widowControl/>
              <w:spacing w:after="0" w:line="240" w:lineRule="auto"/>
              <w:jc w:val="center"/>
              <w:rPr>
                <w:rFonts w:hint="eastAsia" w:cs="宋体" w:asciiTheme="minorEastAsia" w:hAnsiTheme="minorEastAsia"/>
                <w:b/>
                <w:bCs/>
                <w:kern w:val="0"/>
                <w:sz w:val="18"/>
                <w:szCs w:val="18"/>
                <w14:ligatures w14:val="none"/>
              </w:rPr>
            </w:pPr>
            <w:r>
              <w:rPr>
                <w:rFonts w:hint="eastAsia" w:cs="宋体" w:asciiTheme="minorEastAsia" w:hAnsiTheme="minorEastAsia"/>
                <w:b/>
                <w:bCs/>
                <w:kern w:val="0"/>
                <w:sz w:val="18"/>
                <w:szCs w:val="18"/>
                <w14:ligatures w14:val="none"/>
              </w:rPr>
              <w:t>30分</w:t>
            </w:r>
          </w:p>
        </w:tc>
      </w:tr>
      <w:tr w14:paraId="7382C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216" w:type="pct"/>
            <w:vAlign w:val="center"/>
          </w:tcPr>
          <w:p w14:paraId="53C48E7B">
            <w:pPr>
              <w:widowControl/>
              <w:spacing w:after="0" w:line="240" w:lineRule="auto"/>
              <w:jc w:val="center"/>
              <w:rPr>
                <w:rFonts w:hint="eastAsia" w:cs="宋体" w:asciiTheme="minorEastAsia" w:hAnsiTheme="minorEastAsia"/>
                <w:kern w:val="0"/>
                <w:sz w:val="18"/>
                <w:szCs w:val="18"/>
                <w14:ligatures w14:val="none"/>
              </w:rPr>
            </w:pPr>
            <w:r>
              <w:rPr>
                <w:rFonts w:hint="eastAsia" w:cs="宋体" w:asciiTheme="minorEastAsia" w:hAnsiTheme="minorEastAsia"/>
                <w:kern w:val="0"/>
                <w:sz w:val="18"/>
                <w:szCs w:val="18"/>
                <w14:ligatures w14:val="none"/>
              </w:rPr>
              <w:t>2</w:t>
            </w:r>
          </w:p>
        </w:tc>
        <w:tc>
          <w:tcPr>
            <w:tcW w:w="510" w:type="pct"/>
            <w:vAlign w:val="center"/>
          </w:tcPr>
          <w:p w14:paraId="369ADA54">
            <w:pPr>
              <w:spacing w:after="0" w:line="240" w:lineRule="auto"/>
              <w:jc w:val="center"/>
              <w:rPr>
                <w:rFonts w:hint="eastAsia" w:cs="宋体" w:asciiTheme="minorEastAsia" w:hAnsiTheme="minorEastAsia"/>
                <w:sz w:val="18"/>
                <w:szCs w:val="18"/>
                <w14:ligatures w14:val="none"/>
              </w:rPr>
            </w:pPr>
            <w:r>
              <w:rPr>
                <w:rFonts w:hint="eastAsia" w:cs="宋体" w:asciiTheme="minorEastAsia" w:hAnsiTheme="minorEastAsia"/>
                <w:sz w:val="18"/>
                <w:szCs w:val="18"/>
                <w14:ligatures w14:val="none"/>
              </w:rPr>
              <w:t>规章管理制度</w:t>
            </w:r>
          </w:p>
        </w:tc>
        <w:tc>
          <w:tcPr>
            <w:tcW w:w="3931" w:type="pct"/>
            <w:vAlign w:val="center"/>
          </w:tcPr>
          <w:p w14:paraId="6DB69397">
            <w:pPr>
              <w:spacing w:after="0" w:line="240" w:lineRule="auto"/>
              <w:rPr>
                <w:rFonts w:hint="eastAsia" w:cs="宋体" w:asciiTheme="minorEastAsia" w:hAnsiTheme="minorEastAsia"/>
                <w:sz w:val="18"/>
                <w:szCs w:val="18"/>
                <w14:ligatures w14:val="none"/>
              </w:rPr>
            </w:pPr>
            <w:r>
              <w:rPr>
                <w:rFonts w:hint="eastAsia" w:cs="宋体" w:asciiTheme="minorEastAsia" w:hAnsiTheme="minorEastAsia"/>
                <w:sz w:val="18"/>
                <w:szCs w:val="18"/>
                <w14:ligatures w14:val="none"/>
              </w:rPr>
              <w:t>根据代理机构提供的各项规章管理制度进行评审。</w:t>
            </w:r>
          </w:p>
          <w:p w14:paraId="10490836">
            <w:pPr>
              <w:spacing w:after="0" w:line="240" w:lineRule="auto"/>
              <w:rPr>
                <w:rFonts w:hint="eastAsia" w:cs="宋体" w:asciiTheme="minorEastAsia" w:hAnsiTheme="minorEastAsia"/>
                <w:sz w:val="18"/>
                <w:szCs w:val="18"/>
                <w14:ligatures w14:val="none"/>
              </w:rPr>
            </w:pPr>
            <w:r>
              <w:rPr>
                <w:rFonts w:hint="eastAsia" w:cs="宋体" w:asciiTheme="minorEastAsia" w:hAnsiTheme="minorEastAsia"/>
                <w:sz w:val="18"/>
                <w:szCs w:val="18"/>
                <w14:ligatures w14:val="none"/>
              </w:rPr>
              <w:t>1、规章管理制度健全、完善的，得20-25分；</w:t>
            </w:r>
          </w:p>
          <w:p w14:paraId="5CCCB8F0">
            <w:pPr>
              <w:spacing w:after="0" w:line="240" w:lineRule="auto"/>
              <w:rPr>
                <w:rFonts w:hint="eastAsia" w:cs="宋体" w:asciiTheme="minorEastAsia" w:hAnsiTheme="minorEastAsia"/>
                <w:sz w:val="18"/>
                <w:szCs w:val="18"/>
                <w14:ligatures w14:val="none"/>
              </w:rPr>
            </w:pPr>
            <w:r>
              <w:rPr>
                <w:rFonts w:hint="eastAsia" w:cs="宋体" w:asciiTheme="minorEastAsia" w:hAnsiTheme="minorEastAsia"/>
                <w:sz w:val="18"/>
                <w:szCs w:val="18"/>
                <w14:ligatures w14:val="none"/>
              </w:rPr>
              <w:t>2、规章管理制度较健全、完善的，得15-20分；</w:t>
            </w:r>
          </w:p>
          <w:p w14:paraId="34DFA74E">
            <w:pPr>
              <w:spacing w:after="0" w:line="240" w:lineRule="auto"/>
              <w:rPr>
                <w:rFonts w:hint="eastAsia" w:cs="宋体" w:asciiTheme="minorEastAsia" w:hAnsiTheme="minorEastAsia"/>
                <w:sz w:val="18"/>
                <w:szCs w:val="18"/>
                <w14:ligatures w14:val="none"/>
              </w:rPr>
            </w:pPr>
            <w:r>
              <w:rPr>
                <w:rFonts w:hint="eastAsia" w:cs="宋体" w:asciiTheme="minorEastAsia" w:hAnsiTheme="minorEastAsia"/>
                <w:sz w:val="18"/>
                <w:szCs w:val="18"/>
                <w14:ligatures w14:val="none"/>
              </w:rPr>
              <w:t>3、规章管理制度基本健全、完善的，得10-15分；</w:t>
            </w:r>
          </w:p>
          <w:p w14:paraId="03222631">
            <w:pPr>
              <w:spacing w:after="0" w:line="240" w:lineRule="auto"/>
              <w:rPr>
                <w:rFonts w:hint="eastAsia" w:cs="宋体" w:asciiTheme="minorEastAsia" w:hAnsiTheme="minorEastAsia"/>
                <w:sz w:val="18"/>
                <w:szCs w:val="18"/>
                <w14:ligatures w14:val="none"/>
              </w:rPr>
            </w:pPr>
            <w:r>
              <w:rPr>
                <w:rFonts w:hint="eastAsia" w:cs="宋体" w:asciiTheme="minorEastAsia" w:hAnsiTheme="minorEastAsia"/>
                <w:sz w:val="18"/>
                <w:szCs w:val="18"/>
                <w14:ligatures w14:val="none"/>
              </w:rPr>
              <w:t>4、未提供相关描述的，得0分。</w:t>
            </w:r>
          </w:p>
        </w:tc>
        <w:tc>
          <w:tcPr>
            <w:tcW w:w="343" w:type="pct"/>
            <w:vAlign w:val="center"/>
          </w:tcPr>
          <w:p w14:paraId="501FEAE2">
            <w:pPr>
              <w:widowControl/>
              <w:spacing w:after="0" w:line="240" w:lineRule="auto"/>
              <w:jc w:val="center"/>
              <w:rPr>
                <w:rFonts w:hint="eastAsia" w:cs="宋体" w:asciiTheme="minorEastAsia" w:hAnsiTheme="minorEastAsia"/>
                <w:b/>
                <w:bCs/>
                <w:kern w:val="0"/>
                <w:sz w:val="18"/>
                <w:szCs w:val="18"/>
                <w14:ligatures w14:val="none"/>
              </w:rPr>
            </w:pPr>
            <w:r>
              <w:rPr>
                <w:rFonts w:hint="eastAsia" w:cs="宋体" w:asciiTheme="minorEastAsia" w:hAnsiTheme="minorEastAsia"/>
                <w:b/>
                <w:bCs/>
                <w:kern w:val="0"/>
                <w:sz w:val="18"/>
                <w:szCs w:val="18"/>
                <w14:ligatures w14:val="none"/>
              </w:rPr>
              <w:t>25分</w:t>
            </w:r>
          </w:p>
        </w:tc>
      </w:tr>
      <w:tr w14:paraId="070D0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216" w:type="pct"/>
            <w:vAlign w:val="center"/>
          </w:tcPr>
          <w:p w14:paraId="7BDBDBED">
            <w:pPr>
              <w:widowControl/>
              <w:spacing w:after="0" w:line="240" w:lineRule="auto"/>
              <w:jc w:val="center"/>
              <w:rPr>
                <w:rFonts w:hint="eastAsia" w:cs="宋体" w:asciiTheme="minorEastAsia" w:hAnsiTheme="minorEastAsia"/>
                <w:color w:val="000000"/>
                <w:kern w:val="0"/>
                <w:sz w:val="18"/>
                <w:szCs w:val="18"/>
                <w14:ligatures w14:val="none"/>
              </w:rPr>
            </w:pPr>
            <w:r>
              <w:rPr>
                <w:rFonts w:hint="eastAsia" w:cs="宋体" w:asciiTheme="minorEastAsia" w:hAnsiTheme="minorEastAsia"/>
                <w:color w:val="000000"/>
                <w:kern w:val="0"/>
                <w:sz w:val="18"/>
                <w:szCs w:val="18"/>
                <w14:ligatures w14:val="none"/>
              </w:rPr>
              <w:t>3</w:t>
            </w:r>
          </w:p>
        </w:tc>
        <w:tc>
          <w:tcPr>
            <w:tcW w:w="510" w:type="pct"/>
            <w:vAlign w:val="center"/>
          </w:tcPr>
          <w:p w14:paraId="2339D2C2">
            <w:pPr>
              <w:spacing w:after="0" w:line="240" w:lineRule="auto"/>
              <w:jc w:val="center"/>
              <w:rPr>
                <w:rFonts w:hint="eastAsia" w:cs="宋体" w:asciiTheme="minorEastAsia" w:hAnsiTheme="minorEastAsia"/>
                <w:color w:val="000000"/>
                <w:sz w:val="18"/>
                <w:szCs w:val="18"/>
                <w14:ligatures w14:val="none"/>
              </w:rPr>
            </w:pPr>
            <w:r>
              <w:rPr>
                <w:rFonts w:hint="eastAsia" w:cs="宋体" w:asciiTheme="minorEastAsia" w:hAnsiTheme="minorEastAsia"/>
                <w:color w:val="000000"/>
                <w:sz w:val="18"/>
                <w:szCs w:val="18"/>
                <w14:ligatures w14:val="none"/>
              </w:rPr>
              <w:t>企业资信</w:t>
            </w:r>
          </w:p>
        </w:tc>
        <w:tc>
          <w:tcPr>
            <w:tcW w:w="3931" w:type="pct"/>
            <w:vAlign w:val="center"/>
          </w:tcPr>
          <w:p w14:paraId="7C5722C2">
            <w:pPr>
              <w:spacing w:after="0" w:line="240" w:lineRule="auto"/>
              <w:rPr>
                <w:rFonts w:hint="eastAsia" w:cs="宋体" w:asciiTheme="minorEastAsia" w:hAnsiTheme="minorEastAsia"/>
                <w:color w:val="000000"/>
                <w:sz w:val="18"/>
                <w:szCs w:val="18"/>
                <w14:ligatures w14:val="none"/>
              </w:rPr>
            </w:pPr>
            <w:r>
              <w:rPr>
                <w:rFonts w:hint="eastAsia" w:cs="宋体" w:asciiTheme="minorEastAsia" w:hAnsiTheme="minorEastAsia"/>
                <w:color w:val="000000"/>
                <w:sz w:val="18"/>
                <w:szCs w:val="18"/>
                <w14:ligatures w14:val="none"/>
              </w:rPr>
              <w:t>投标人具有工程招标代理类资信证书的得2分，提供证书复印件并加盖投标人公章。</w:t>
            </w:r>
          </w:p>
        </w:tc>
        <w:tc>
          <w:tcPr>
            <w:tcW w:w="343" w:type="pct"/>
            <w:vAlign w:val="center"/>
          </w:tcPr>
          <w:p w14:paraId="35DD54DA">
            <w:pPr>
              <w:spacing w:after="0" w:line="240" w:lineRule="auto"/>
              <w:jc w:val="center"/>
              <w:rPr>
                <w:rFonts w:hint="eastAsia" w:cs="宋体" w:asciiTheme="minorEastAsia" w:hAnsiTheme="minorEastAsia"/>
                <w:color w:val="000000"/>
                <w:sz w:val="18"/>
                <w:szCs w:val="18"/>
                <w14:ligatures w14:val="none"/>
              </w:rPr>
            </w:pPr>
            <w:r>
              <w:rPr>
                <w:rFonts w:hint="eastAsia" w:cs="宋体" w:asciiTheme="minorEastAsia" w:hAnsiTheme="minorEastAsia"/>
                <w:b/>
                <w:bCs/>
                <w:color w:val="000000"/>
                <w:kern w:val="0"/>
                <w:sz w:val="18"/>
                <w:szCs w:val="18"/>
                <w14:ligatures w14:val="none"/>
              </w:rPr>
              <w:t>2分</w:t>
            </w:r>
          </w:p>
        </w:tc>
      </w:tr>
      <w:tr w14:paraId="3076C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216" w:type="pct"/>
            <w:vAlign w:val="center"/>
          </w:tcPr>
          <w:p w14:paraId="1A48AE22">
            <w:pPr>
              <w:widowControl/>
              <w:spacing w:after="0" w:line="240" w:lineRule="auto"/>
              <w:jc w:val="center"/>
              <w:rPr>
                <w:rFonts w:hint="eastAsia" w:cs="宋体" w:asciiTheme="minorEastAsia" w:hAnsiTheme="minorEastAsia"/>
                <w:kern w:val="0"/>
                <w:sz w:val="18"/>
                <w:szCs w:val="18"/>
                <w14:ligatures w14:val="none"/>
              </w:rPr>
            </w:pPr>
            <w:r>
              <w:rPr>
                <w:rFonts w:hint="eastAsia" w:cs="宋体" w:asciiTheme="minorEastAsia" w:hAnsiTheme="minorEastAsia"/>
                <w:kern w:val="0"/>
                <w:sz w:val="18"/>
                <w:szCs w:val="18"/>
                <w14:ligatures w14:val="none"/>
              </w:rPr>
              <w:t>4</w:t>
            </w:r>
          </w:p>
        </w:tc>
        <w:tc>
          <w:tcPr>
            <w:tcW w:w="510" w:type="pct"/>
            <w:vAlign w:val="center"/>
          </w:tcPr>
          <w:p w14:paraId="714D1468">
            <w:pPr>
              <w:spacing w:after="0" w:line="240" w:lineRule="auto"/>
              <w:jc w:val="center"/>
              <w:rPr>
                <w:rFonts w:hint="eastAsia" w:cs="宋体" w:asciiTheme="minorEastAsia" w:hAnsiTheme="minorEastAsia"/>
                <w:sz w:val="18"/>
                <w:szCs w:val="18"/>
                <w14:ligatures w14:val="none"/>
              </w:rPr>
            </w:pPr>
            <w:r>
              <w:rPr>
                <w:rFonts w:hint="eastAsia" w:cs="宋体" w:asciiTheme="minorEastAsia" w:hAnsiTheme="minorEastAsia"/>
                <w:sz w:val="18"/>
                <w:szCs w:val="18"/>
                <w14:ligatures w14:val="none"/>
              </w:rPr>
              <w:t>服务团队人员配备情况</w:t>
            </w:r>
          </w:p>
        </w:tc>
        <w:tc>
          <w:tcPr>
            <w:tcW w:w="3931" w:type="pct"/>
            <w:vAlign w:val="center"/>
          </w:tcPr>
          <w:p w14:paraId="3514D39E">
            <w:pPr>
              <w:spacing w:after="0" w:line="240" w:lineRule="auto"/>
              <w:rPr>
                <w:rFonts w:hint="eastAsia" w:cs="宋体" w:asciiTheme="minorEastAsia" w:hAnsiTheme="minorEastAsia"/>
                <w:sz w:val="18"/>
                <w:szCs w:val="18"/>
                <w14:ligatures w14:val="none"/>
              </w:rPr>
            </w:pPr>
            <w:r>
              <w:rPr>
                <w:rFonts w:hint="eastAsia" w:cs="宋体" w:asciiTheme="minorEastAsia" w:hAnsiTheme="minorEastAsia"/>
                <w:sz w:val="18"/>
                <w:szCs w:val="18"/>
                <w14:ligatures w14:val="none"/>
              </w:rPr>
              <w:t>根据代理机构拟投入的服务团队人员配备情况进行评审：</w:t>
            </w:r>
          </w:p>
          <w:p w14:paraId="7B07155C">
            <w:pPr>
              <w:spacing w:after="0" w:line="240" w:lineRule="auto"/>
              <w:contextualSpacing/>
              <w:jc w:val="both"/>
              <w:rPr>
                <w:rFonts w:hint="eastAsia" w:cs="宋体" w:asciiTheme="minorEastAsia" w:hAnsiTheme="minorEastAsia"/>
                <w:sz w:val="18"/>
                <w:szCs w:val="18"/>
                <w14:ligatures w14:val="none"/>
              </w:rPr>
            </w:pPr>
            <w:r>
              <w:rPr>
                <w:rFonts w:hint="eastAsia" w:cs="宋体" w:asciiTheme="minorEastAsia" w:hAnsiTheme="minorEastAsia"/>
                <w:sz w:val="18"/>
                <w:szCs w:val="18"/>
                <w14:ligatures w14:val="none"/>
              </w:rPr>
              <w:t>1、项目负责人资历（5分）：</w:t>
            </w:r>
          </w:p>
          <w:p w14:paraId="59CB56C4">
            <w:pPr>
              <w:spacing w:after="0" w:line="240" w:lineRule="auto"/>
              <w:contextualSpacing/>
              <w:jc w:val="both"/>
              <w:rPr>
                <w:rFonts w:hint="eastAsia" w:cs="宋体" w:asciiTheme="minorEastAsia" w:hAnsiTheme="minorEastAsia"/>
                <w:sz w:val="18"/>
                <w:szCs w:val="18"/>
                <w14:ligatures w14:val="none"/>
              </w:rPr>
            </w:pPr>
            <w:r>
              <w:rPr>
                <w:rFonts w:hint="eastAsia" w:cs="宋体" w:asciiTheme="minorEastAsia" w:hAnsiTheme="minorEastAsia"/>
                <w:sz w:val="18"/>
                <w:szCs w:val="18"/>
                <w14:ligatures w14:val="none"/>
              </w:rPr>
              <w:t>（1）项目负责人具有具有（工程或工程相关专业类）中级（或以上）职称证书得1分；具有（工程或工程相关专业类）高级（或以上）职称证书得2分。本项最高2分；</w:t>
            </w:r>
          </w:p>
          <w:p w14:paraId="68CC9037">
            <w:pPr>
              <w:spacing w:after="0" w:line="240" w:lineRule="auto"/>
              <w:contextualSpacing/>
              <w:jc w:val="both"/>
              <w:rPr>
                <w:rFonts w:hint="eastAsia" w:cs="宋体" w:asciiTheme="minorEastAsia" w:hAnsiTheme="minorEastAsia"/>
                <w:sz w:val="18"/>
                <w:szCs w:val="18"/>
                <w14:ligatures w14:val="none"/>
              </w:rPr>
            </w:pPr>
            <w:r>
              <w:rPr>
                <w:rFonts w:hint="eastAsia" w:cs="宋体" w:asciiTheme="minorEastAsia" w:hAnsiTheme="minorEastAsia"/>
                <w:sz w:val="18"/>
                <w:szCs w:val="18"/>
                <w14:ligatures w14:val="none"/>
              </w:rPr>
              <w:t>（2）项目负责人同时具有建造、造价、监理类执业资格证书的得3分。本项目最高3分。</w:t>
            </w:r>
          </w:p>
          <w:p w14:paraId="0AC58738">
            <w:pPr>
              <w:numPr>
                <w:ilvl w:val="0"/>
                <w:numId w:val="1"/>
              </w:numPr>
              <w:spacing w:after="0" w:line="240" w:lineRule="auto"/>
              <w:jc w:val="both"/>
              <w:rPr>
                <w:rFonts w:hint="eastAsia" w:cs="宋体" w:asciiTheme="minorEastAsia" w:hAnsiTheme="minorEastAsia"/>
                <w:sz w:val="18"/>
                <w:szCs w:val="18"/>
                <w14:ligatures w14:val="none"/>
              </w:rPr>
            </w:pPr>
            <w:r>
              <w:rPr>
                <w:rFonts w:hint="eastAsia" w:cs="宋体" w:asciiTheme="minorEastAsia" w:hAnsiTheme="minorEastAsia"/>
                <w:sz w:val="18"/>
                <w:szCs w:val="18"/>
                <w14:ligatures w14:val="none"/>
              </w:rPr>
              <w:t>投入项目其他人员配置（13分）：</w:t>
            </w:r>
          </w:p>
          <w:p w14:paraId="56E11EC6">
            <w:pPr>
              <w:spacing w:after="0" w:line="240" w:lineRule="auto"/>
              <w:contextualSpacing/>
              <w:jc w:val="both"/>
              <w:rPr>
                <w:rFonts w:hint="eastAsia" w:cs="宋体" w:asciiTheme="minorEastAsia" w:hAnsiTheme="minorEastAsia"/>
                <w:sz w:val="18"/>
                <w:szCs w:val="18"/>
                <w14:ligatures w14:val="none"/>
              </w:rPr>
            </w:pPr>
            <w:r>
              <w:rPr>
                <w:rFonts w:hint="eastAsia" w:cs="宋体" w:asciiTheme="minorEastAsia" w:hAnsiTheme="minorEastAsia"/>
                <w:sz w:val="18"/>
                <w:szCs w:val="18"/>
                <w14:ligatures w14:val="none"/>
              </w:rPr>
              <w:t>（1）投入项目其他人员（除项目负责人外）具有（工程或工程相关专业类）中级（或以上）职称证书的得2分;具有（工程或工程相关专业类）高级（或以上）职称证书的得5分；本项最高5分；</w:t>
            </w:r>
          </w:p>
          <w:p w14:paraId="15666AF3">
            <w:pPr>
              <w:spacing w:after="0" w:line="240" w:lineRule="auto"/>
              <w:contextualSpacing/>
              <w:jc w:val="both"/>
              <w:rPr>
                <w:rFonts w:hint="eastAsia" w:cs="宋体" w:asciiTheme="minorEastAsia" w:hAnsiTheme="minorEastAsia"/>
                <w:sz w:val="18"/>
                <w:szCs w:val="18"/>
                <w14:ligatures w14:val="none"/>
              </w:rPr>
            </w:pPr>
            <w:r>
              <w:rPr>
                <w:rFonts w:hint="eastAsia" w:cs="宋体" w:asciiTheme="minorEastAsia" w:hAnsiTheme="minorEastAsia"/>
                <w:sz w:val="18"/>
                <w:szCs w:val="18"/>
                <w14:ligatures w14:val="none"/>
              </w:rPr>
              <w:t>（2）投入项目其他人员（除项目负责人外）具有建造、造价、监理类执业资格证书，同时具有2个或以上类别证书得4分；、具有1个类别证书的得1分。本项最高8分。</w:t>
            </w:r>
          </w:p>
          <w:p w14:paraId="152197AA">
            <w:pPr>
              <w:spacing w:after="0" w:line="240" w:lineRule="auto"/>
              <w:rPr>
                <w:rFonts w:hint="eastAsia" w:cs="宋体" w:asciiTheme="minorEastAsia" w:hAnsiTheme="minorEastAsia"/>
                <w:b/>
                <w:bCs/>
                <w:sz w:val="15"/>
                <w:szCs w:val="15"/>
                <w14:ligatures w14:val="none"/>
              </w:rPr>
            </w:pPr>
            <w:r>
              <w:rPr>
                <w:rFonts w:hint="eastAsia" w:cs="宋体" w:asciiTheme="minorEastAsia" w:hAnsiTheme="minorEastAsia"/>
                <w:b/>
                <w:bCs/>
                <w:sz w:val="15"/>
                <w:szCs w:val="15"/>
                <w14:ligatures w14:val="none"/>
              </w:rPr>
              <w:t>注：需提供以下材料，未按要求提供的不得分。1、上述服务团队人员的相关证书（证明）；2、近3个月内（以公告发布当月的上一月份为限），代理机构为上述人员在服务机构购买社保的任意一个月社保凭证复印件；3、退休人员需提供退休证明复印件及与投标单位签订的劳动合同，所有材料均需加盖代理机构公章。</w:t>
            </w:r>
          </w:p>
        </w:tc>
        <w:tc>
          <w:tcPr>
            <w:tcW w:w="343" w:type="pct"/>
            <w:vAlign w:val="center"/>
          </w:tcPr>
          <w:p w14:paraId="44C40EC1">
            <w:pPr>
              <w:widowControl/>
              <w:spacing w:after="0" w:line="240" w:lineRule="auto"/>
              <w:jc w:val="center"/>
              <w:rPr>
                <w:rFonts w:hint="eastAsia" w:cs="宋体" w:asciiTheme="minorEastAsia" w:hAnsiTheme="minorEastAsia"/>
                <w:b/>
                <w:bCs/>
                <w:kern w:val="0"/>
                <w:sz w:val="18"/>
                <w:szCs w:val="18"/>
                <w14:ligatures w14:val="none"/>
              </w:rPr>
            </w:pPr>
            <w:r>
              <w:rPr>
                <w:rFonts w:hint="eastAsia" w:cs="宋体" w:asciiTheme="minorEastAsia" w:hAnsiTheme="minorEastAsia"/>
                <w:b/>
                <w:bCs/>
                <w:kern w:val="0"/>
                <w:sz w:val="18"/>
                <w:szCs w:val="18"/>
                <w14:ligatures w14:val="none"/>
              </w:rPr>
              <w:t>18分</w:t>
            </w:r>
          </w:p>
        </w:tc>
      </w:tr>
      <w:tr w14:paraId="3A007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216" w:type="pct"/>
            <w:vAlign w:val="center"/>
          </w:tcPr>
          <w:p w14:paraId="58854C78">
            <w:pPr>
              <w:widowControl/>
              <w:spacing w:after="0" w:line="240" w:lineRule="auto"/>
              <w:jc w:val="center"/>
              <w:rPr>
                <w:rFonts w:hint="eastAsia" w:cs="宋体" w:asciiTheme="minorEastAsia" w:hAnsiTheme="minorEastAsia"/>
                <w:kern w:val="0"/>
                <w:sz w:val="18"/>
                <w:szCs w:val="18"/>
                <w14:ligatures w14:val="none"/>
              </w:rPr>
            </w:pPr>
            <w:r>
              <w:rPr>
                <w:rFonts w:hint="eastAsia" w:cs="宋体" w:asciiTheme="minorEastAsia" w:hAnsiTheme="minorEastAsia"/>
                <w:kern w:val="0"/>
                <w:sz w:val="18"/>
                <w:szCs w:val="18"/>
                <w14:ligatures w14:val="none"/>
              </w:rPr>
              <w:t>5</w:t>
            </w:r>
          </w:p>
        </w:tc>
        <w:tc>
          <w:tcPr>
            <w:tcW w:w="510" w:type="pct"/>
            <w:vAlign w:val="center"/>
          </w:tcPr>
          <w:p w14:paraId="0CD3866B">
            <w:pPr>
              <w:spacing w:after="0" w:line="240" w:lineRule="auto"/>
              <w:jc w:val="center"/>
              <w:rPr>
                <w:rFonts w:hint="eastAsia" w:cs="宋体" w:asciiTheme="minorEastAsia" w:hAnsiTheme="minorEastAsia"/>
                <w:sz w:val="18"/>
                <w:szCs w:val="18"/>
                <w14:ligatures w14:val="none"/>
              </w:rPr>
            </w:pPr>
            <w:r>
              <w:rPr>
                <w:rFonts w:hint="eastAsia" w:cs="宋体" w:asciiTheme="minorEastAsia" w:hAnsiTheme="minorEastAsia"/>
                <w:sz w:val="18"/>
                <w:szCs w:val="18"/>
                <w14:ligatures w14:val="none"/>
              </w:rPr>
              <w:t>代理业绩情况</w:t>
            </w:r>
          </w:p>
        </w:tc>
        <w:tc>
          <w:tcPr>
            <w:tcW w:w="3931" w:type="pct"/>
            <w:vAlign w:val="center"/>
          </w:tcPr>
          <w:p w14:paraId="0E23063B">
            <w:pPr>
              <w:spacing w:after="0" w:line="240" w:lineRule="auto"/>
              <w:rPr>
                <w:rFonts w:hint="eastAsia" w:cs="宋体" w:asciiTheme="minorEastAsia" w:hAnsiTheme="minorEastAsia"/>
                <w:sz w:val="18"/>
                <w:szCs w:val="18"/>
                <w14:ligatures w14:val="none"/>
              </w:rPr>
            </w:pPr>
            <w:r>
              <w:rPr>
                <w:rFonts w:hint="eastAsia" w:cs="宋体" w:asciiTheme="minorEastAsia" w:hAnsiTheme="minorEastAsia"/>
                <w:sz w:val="18"/>
                <w:szCs w:val="18"/>
                <w14:ligatures w14:val="none"/>
              </w:rPr>
              <w:t>代理机构2020年1月1日至今（以协议签订时间为准）承担过政府采购代理项目（工程类）业绩的，每项业绩得2分，其他或未提供的不得分。</w:t>
            </w:r>
          </w:p>
          <w:p w14:paraId="38E322A3">
            <w:pPr>
              <w:spacing w:after="0" w:line="240" w:lineRule="auto"/>
              <w:rPr>
                <w:rFonts w:hint="eastAsia" w:cs="宋体" w:asciiTheme="minorEastAsia" w:hAnsiTheme="minorEastAsia"/>
                <w:b/>
                <w:bCs/>
                <w:sz w:val="15"/>
                <w:szCs w:val="15"/>
                <w14:ligatures w14:val="none"/>
              </w:rPr>
            </w:pPr>
            <w:r>
              <w:rPr>
                <w:rFonts w:hint="eastAsia" w:cs="宋体" w:asciiTheme="minorEastAsia" w:hAnsiTheme="minorEastAsia"/>
                <w:b/>
                <w:bCs/>
                <w:sz w:val="15"/>
                <w:szCs w:val="15"/>
                <w14:ligatures w14:val="none"/>
              </w:rPr>
              <w:t>注：需要提供项目委托代理协议及项目中标（成交）通知书复印件，并加盖代理机构单位公章，未提供不得分。</w:t>
            </w:r>
          </w:p>
        </w:tc>
        <w:tc>
          <w:tcPr>
            <w:tcW w:w="343" w:type="pct"/>
            <w:vAlign w:val="center"/>
          </w:tcPr>
          <w:p w14:paraId="7CB4AA91">
            <w:pPr>
              <w:widowControl/>
              <w:spacing w:after="0" w:line="240" w:lineRule="auto"/>
              <w:jc w:val="center"/>
              <w:rPr>
                <w:rFonts w:hint="eastAsia" w:cs="宋体" w:asciiTheme="minorEastAsia" w:hAnsiTheme="minorEastAsia"/>
                <w:b/>
                <w:bCs/>
                <w:kern w:val="0"/>
                <w:sz w:val="18"/>
                <w:szCs w:val="18"/>
                <w14:ligatures w14:val="none"/>
              </w:rPr>
            </w:pPr>
            <w:r>
              <w:rPr>
                <w:rFonts w:hint="eastAsia" w:cs="宋体" w:asciiTheme="minorEastAsia" w:hAnsiTheme="minorEastAsia"/>
                <w:b/>
                <w:bCs/>
                <w:kern w:val="0"/>
                <w:sz w:val="18"/>
                <w:szCs w:val="18"/>
                <w14:ligatures w14:val="none"/>
              </w:rPr>
              <w:t>20分</w:t>
            </w:r>
          </w:p>
        </w:tc>
      </w:tr>
      <w:tr w14:paraId="0AE82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216" w:type="pct"/>
            <w:vAlign w:val="center"/>
          </w:tcPr>
          <w:p w14:paraId="3EEEDF0E">
            <w:pPr>
              <w:widowControl/>
              <w:spacing w:after="0" w:line="240" w:lineRule="auto"/>
              <w:jc w:val="center"/>
              <w:rPr>
                <w:rFonts w:hint="eastAsia" w:cs="宋体" w:asciiTheme="minorEastAsia" w:hAnsiTheme="minorEastAsia"/>
                <w:kern w:val="0"/>
                <w:sz w:val="18"/>
                <w:szCs w:val="18"/>
                <w14:ligatures w14:val="none"/>
              </w:rPr>
            </w:pPr>
            <w:r>
              <w:rPr>
                <w:rFonts w:hint="eastAsia" w:cs="宋体" w:asciiTheme="minorEastAsia" w:hAnsiTheme="minorEastAsia"/>
                <w:kern w:val="0"/>
                <w:sz w:val="18"/>
                <w:szCs w:val="18"/>
                <w14:ligatures w14:val="none"/>
              </w:rPr>
              <w:t>6</w:t>
            </w:r>
          </w:p>
        </w:tc>
        <w:tc>
          <w:tcPr>
            <w:tcW w:w="510" w:type="pct"/>
            <w:vAlign w:val="center"/>
          </w:tcPr>
          <w:p w14:paraId="6CEFFA7E">
            <w:pPr>
              <w:spacing w:after="0" w:line="240" w:lineRule="auto"/>
              <w:jc w:val="center"/>
              <w:rPr>
                <w:rFonts w:hint="eastAsia" w:cs="宋体" w:asciiTheme="minorEastAsia" w:hAnsiTheme="minorEastAsia"/>
                <w:sz w:val="18"/>
                <w:szCs w:val="18"/>
                <w14:ligatures w14:val="none"/>
              </w:rPr>
            </w:pPr>
            <w:bookmarkStart w:id="0" w:name="OLE_LINK3"/>
            <w:r>
              <w:rPr>
                <w:rFonts w:hint="eastAsia" w:cs="宋体" w:asciiTheme="minorEastAsia" w:hAnsiTheme="minorEastAsia"/>
                <w:sz w:val="18"/>
                <w:szCs w:val="18"/>
                <w14:ligatures w14:val="none"/>
              </w:rPr>
              <w:t>法律保障</w:t>
            </w:r>
            <w:bookmarkEnd w:id="0"/>
          </w:p>
        </w:tc>
        <w:tc>
          <w:tcPr>
            <w:tcW w:w="3931" w:type="pct"/>
            <w:vAlign w:val="center"/>
          </w:tcPr>
          <w:p w14:paraId="4D69AEE1">
            <w:pPr>
              <w:spacing w:after="0" w:line="240" w:lineRule="auto"/>
              <w:rPr>
                <w:rFonts w:hint="eastAsia" w:cs="宋体" w:asciiTheme="minorEastAsia" w:hAnsiTheme="minorEastAsia"/>
                <w:sz w:val="18"/>
                <w:szCs w:val="18"/>
                <w14:ligatures w14:val="none"/>
              </w:rPr>
            </w:pPr>
            <w:bookmarkStart w:id="1" w:name="OLE_LINK2"/>
            <w:r>
              <w:rPr>
                <w:rFonts w:hint="eastAsia" w:cs="宋体" w:asciiTheme="minorEastAsia" w:hAnsiTheme="minorEastAsia"/>
                <w:sz w:val="18"/>
                <w:szCs w:val="18"/>
                <w14:ligatures w14:val="none"/>
              </w:rPr>
              <w:t>代理机构</w:t>
            </w:r>
            <w:bookmarkEnd w:id="1"/>
            <w:r>
              <w:rPr>
                <w:rFonts w:hint="eastAsia" w:cs="宋体" w:asciiTheme="minorEastAsia" w:hAnsiTheme="minorEastAsia"/>
                <w:sz w:val="18"/>
                <w:szCs w:val="18"/>
                <w14:ligatures w14:val="none"/>
              </w:rPr>
              <w:t>聘任律师事务所法律顾问，为招标招标代理提供法律咨询的，得5分，没有的不得分。本项最高得分为5分。</w:t>
            </w:r>
          </w:p>
          <w:p w14:paraId="6A66D85C">
            <w:pPr>
              <w:spacing w:after="0" w:line="240" w:lineRule="auto"/>
              <w:rPr>
                <w:rFonts w:hint="eastAsia" w:cs="宋体" w:asciiTheme="minorEastAsia" w:hAnsiTheme="minorEastAsia"/>
                <w:b/>
                <w:bCs/>
                <w:sz w:val="15"/>
                <w:szCs w:val="15"/>
                <w14:ligatures w14:val="none"/>
              </w:rPr>
            </w:pPr>
            <w:r>
              <w:rPr>
                <w:rFonts w:hint="eastAsia" w:cs="宋体" w:asciiTheme="minorEastAsia" w:hAnsiTheme="minorEastAsia"/>
                <w:b/>
                <w:bCs/>
                <w:sz w:val="15"/>
                <w:szCs w:val="15"/>
                <w14:ligatures w14:val="none"/>
              </w:rPr>
              <w:t>注：需提供有效的代理机构与律师事务所签订的合同复印件并加盖代理机构单位公章，未提供不得分。</w:t>
            </w:r>
          </w:p>
        </w:tc>
        <w:tc>
          <w:tcPr>
            <w:tcW w:w="343" w:type="pct"/>
            <w:vAlign w:val="center"/>
          </w:tcPr>
          <w:p w14:paraId="06872D79">
            <w:pPr>
              <w:widowControl/>
              <w:spacing w:after="0" w:line="240" w:lineRule="auto"/>
              <w:jc w:val="center"/>
              <w:rPr>
                <w:rFonts w:hint="eastAsia" w:cs="宋体" w:asciiTheme="minorEastAsia" w:hAnsiTheme="minorEastAsia"/>
                <w:b/>
                <w:bCs/>
                <w:kern w:val="0"/>
                <w:sz w:val="18"/>
                <w:szCs w:val="18"/>
                <w14:ligatures w14:val="none"/>
              </w:rPr>
            </w:pPr>
            <w:r>
              <w:rPr>
                <w:rFonts w:hint="eastAsia" w:cs="宋体" w:asciiTheme="minorEastAsia" w:hAnsiTheme="minorEastAsia"/>
                <w:b/>
                <w:bCs/>
                <w:kern w:val="0"/>
                <w:sz w:val="18"/>
                <w:szCs w:val="18"/>
                <w14:ligatures w14:val="none"/>
              </w:rPr>
              <w:t>5分</w:t>
            </w:r>
          </w:p>
        </w:tc>
      </w:tr>
    </w:tbl>
    <w:p w14:paraId="2FC6FC7D">
      <w:pPr>
        <w:spacing w:after="0" w:line="360" w:lineRule="auto"/>
        <w:rPr>
          <w:rFonts w:hint="eastAsia"/>
          <w:sz w:val="10"/>
          <w:szCs w:val="10"/>
        </w:rPr>
      </w:pPr>
    </w:p>
    <w:sectPr>
      <w:pgSz w:w="11906" w:h="16838"/>
      <w:pgMar w:top="1440" w:right="1080" w:bottom="1440" w:left="108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18A1621"/>
    <w:multiLevelType w:val="singleLevel"/>
    <w:tmpl w:val="418A1621"/>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HorizontalSpacing w:val="11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072F"/>
    <w:rsid w:val="000C15C1"/>
    <w:rsid w:val="00116B9A"/>
    <w:rsid w:val="002400D1"/>
    <w:rsid w:val="00251BB0"/>
    <w:rsid w:val="00281F16"/>
    <w:rsid w:val="002A5E48"/>
    <w:rsid w:val="002B410F"/>
    <w:rsid w:val="00375321"/>
    <w:rsid w:val="00375ED0"/>
    <w:rsid w:val="003762DF"/>
    <w:rsid w:val="003A013E"/>
    <w:rsid w:val="003E7097"/>
    <w:rsid w:val="003F288B"/>
    <w:rsid w:val="004426B2"/>
    <w:rsid w:val="004545EB"/>
    <w:rsid w:val="00480569"/>
    <w:rsid w:val="005061CF"/>
    <w:rsid w:val="00531FE0"/>
    <w:rsid w:val="0073233A"/>
    <w:rsid w:val="00773B08"/>
    <w:rsid w:val="00784909"/>
    <w:rsid w:val="00787739"/>
    <w:rsid w:val="0079072F"/>
    <w:rsid w:val="007A6B5D"/>
    <w:rsid w:val="007B73CA"/>
    <w:rsid w:val="00857FBF"/>
    <w:rsid w:val="00876627"/>
    <w:rsid w:val="009605B0"/>
    <w:rsid w:val="00A65CC1"/>
    <w:rsid w:val="00A666AA"/>
    <w:rsid w:val="00A974B3"/>
    <w:rsid w:val="00B62A74"/>
    <w:rsid w:val="00BC53C5"/>
    <w:rsid w:val="00BF483D"/>
    <w:rsid w:val="00CF7153"/>
    <w:rsid w:val="00D063B4"/>
    <w:rsid w:val="00E61BCB"/>
    <w:rsid w:val="00F34194"/>
    <w:rsid w:val="00F46FC2"/>
    <w:rsid w:val="00FE6784"/>
    <w:rsid w:val="00FF100E"/>
    <w:rsid w:val="5DAD6B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18"/>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9"/>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0"/>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1"/>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2"/>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3"/>
    <w:semiHidden/>
    <w:unhideWhenUsed/>
    <w:qFormat/>
    <w:uiPriority w:val="9"/>
    <w:pPr>
      <w:keepNext/>
      <w:keepLines/>
      <w:spacing w:before="40" w:after="0"/>
      <w:outlineLvl w:val="5"/>
    </w:pPr>
    <w:rPr>
      <w:rFonts w:cstheme="majorBidi"/>
      <w:b/>
      <w:bCs/>
      <w:color w:val="104862" w:themeColor="accent1" w:themeShade="BF"/>
    </w:rPr>
  </w:style>
  <w:style w:type="paragraph" w:styleId="8">
    <w:name w:val="heading 7"/>
    <w:basedOn w:val="1"/>
    <w:next w:val="1"/>
    <w:link w:val="24"/>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5"/>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6"/>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11">
    <w:name w:val="Date"/>
    <w:basedOn w:val="1"/>
    <w:next w:val="1"/>
    <w:link w:val="38"/>
    <w:semiHidden/>
    <w:unhideWhenUsed/>
    <w:qFormat/>
    <w:uiPriority w:val="99"/>
    <w:pPr>
      <w:ind w:left="100" w:leftChars="2500"/>
    </w:pPr>
  </w:style>
  <w:style w:type="paragraph" w:styleId="12">
    <w:name w:val="footer"/>
    <w:basedOn w:val="1"/>
    <w:link w:val="37"/>
    <w:unhideWhenUsed/>
    <w:uiPriority w:val="99"/>
    <w:pPr>
      <w:tabs>
        <w:tab w:val="center" w:pos="4153"/>
        <w:tab w:val="right" w:pos="8306"/>
      </w:tabs>
      <w:snapToGrid w:val="0"/>
      <w:spacing w:line="240" w:lineRule="auto"/>
    </w:pPr>
    <w:rPr>
      <w:sz w:val="18"/>
      <w:szCs w:val="18"/>
    </w:rPr>
  </w:style>
  <w:style w:type="paragraph" w:styleId="13">
    <w:name w:val="header"/>
    <w:basedOn w:val="1"/>
    <w:link w:val="36"/>
    <w:unhideWhenUsed/>
    <w:qFormat/>
    <w:uiPriority w:val="99"/>
    <w:pPr>
      <w:tabs>
        <w:tab w:val="center" w:pos="4153"/>
        <w:tab w:val="right" w:pos="8306"/>
      </w:tabs>
      <w:snapToGrid w:val="0"/>
      <w:spacing w:line="240" w:lineRule="auto"/>
      <w:jc w:val="center"/>
    </w:pPr>
    <w:rPr>
      <w:sz w:val="18"/>
      <w:szCs w:val="18"/>
    </w:rPr>
  </w:style>
  <w:style w:type="paragraph" w:styleId="14">
    <w:name w:val="Subtitle"/>
    <w:basedOn w:val="1"/>
    <w:next w:val="1"/>
    <w:link w:val="28"/>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5">
    <w:name w:val="Title"/>
    <w:basedOn w:val="1"/>
    <w:next w:val="1"/>
    <w:link w:val="27"/>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character" w:customStyle="1" w:styleId="18">
    <w:name w:val="标题 1 字符"/>
    <w:basedOn w:val="17"/>
    <w:link w:val="2"/>
    <w:qFormat/>
    <w:uiPriority w:val="9"/>
    <w:rPr>
      <w:rFonts w:asciiTheme="majorHAnsi" w:hAnsiTheme="majorHAnsi" w:eastAsiaTheme="majorEastAsia" w:cstheme="majorBidi"/>
      <w:color w:val="104862" w:themeColor="accent1" w:themeShade="BF"/>
      <w:sz w:val="48"/>
      <w:szCs w:val="48"/>
    </w:rPr>
  </w:style>
  <w:style w:type="character" w:customStyle="1" w:styleId="19">
    <w:name w:val="标题 2 字符"/>
    <w:basedOn w:val="17"/>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20">
    <w:name w:val="标题 3 字符"/>
    <w:basedOn w:val="17"/>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1">
    <w:name w:val="标题 4 字符"/>
    <w:basedOn w:val="17"/>
    <w:link w:val="5"/>
    <w:semiHidden/>
    <w:qFormat/>
    <w:uiPriority w:val="9"/>
    <w:rPr>
      <w:rFonts w:cstheme="majorBidi"/>
      <w:color w:val="104862" w:themeColor="accent1" w:themeShade="BF"/>
      <w:sz w:val="28"/>
      <w:szCs w:val="28"/>
    </w:rPr>
  </w:style>
  <w:style w:type="character" w:customStyle="1" w:styleId="22">
    <w:name w:val="标题 5 字符"/>
    <w:basedOn w:val="17"/>
    <w:link w:val="6"/>
    <w:semiHidden/>
    <w:qFormat/>
    <w:uiPriority w:val="9"/>
    <w:rPr>
      <w:rFonts w:cstheme="majorBidi"/>
      <w:color w:val="104862" w:themeColor="accent1" w:themeShade="BF"/>
      <w:sz w:val="24"/>
    </w:rPr>
  </w:style>
  <w:style w:type="character" w:customStyle="1" w:styleId="23">
    <w:name w:val="标题 6 字符"/>
    <w:basedOn w:val="17"/>
    <w:link w:val="7"/>
    <w:semiHidden/>
    <w:qFormat/>
    <w:uiPriority w:val="9"/>
    <w:rPr>
      <w:rFonts w:cstheme="majorBidi"/>
      <w:b/>
      <w:bCs/>
      <w:color w:val="104862" w:themeColor="accent1" w:themeShade="BF"/>
    </w:rPr>
  </w:style>
  <w:style w:type="character" w:customStyle="1" w:styleId="24">
    <w:name w:val="标题 7 字符"/>
    <w:basedOn w:val="17"/>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5">
    <w:name w:val="标题 8 字符"/>
    <w:basedOn w:val="17"/>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6">
    <w:name w:val="标题 9 字符"/>
    <w:basedOn w:val="17"/>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标题 字符"/>
    <w:basedOn w:val="17"/>
    <w:link w:val="15"/>
    <w:qFormat/>
    <w:uiPriority w:val="10"/>
    <w:rPr>
      <w:rFonts w:asciiTheme="majorHAnsi" w:hAnsiTheme="majorHAnsi" w:eastAsiaTheme="majorEastAsia" w:cstheme="majorBidi"/>
      <w:spacing w:val="-10"/>
      <w:kern w:val="28"/>
      <w:sz w:val="56"/>
      <w:szCs w:val="56"/>
    </w:rPr>
  </w:style>
  <w:style w:type="character" w:customStyle="1" w:styleId="28">
    <w:name w:val="副标题 字符"/>
    <w:basedOn w:val="17"/>
    <w:link w:val="14"/>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0">
    <w:name w:val="引用 字符"/>
    <w:basedOn w:val="17"/>
    <w:link w:val="29"/>
    <w:qFormat/>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34"/>
    <w:pPr>
      <w:ind w:left="720"/>
      <w:contextualSpacing/>
    </w:pPr>
  </w:style>
  <w:style w:type="character" w:customStyle="1" w:styleId="32">
    <w:name w:val="Intense Emphasis"/>
    <w:basedOn w:val="17"/>
    <w:qFormat/>
    <w:uiPriority w:val="21"/>
    <w:rPr>
      <w:i/>
      <w:iCs/>
      <w:color w:val="104862" w:themeColor="accent1" w:themeShade="BF"/>
    </w:rPr>
  </w:style>
  <w:style w:type="paragraph" w:styleId="33">
    <w:name w:val="Intense Quote"/>
    <w:basedOn w:val="1"/>
    <w:next w:val="1"/>
    <w:link w:val="34"/>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4">
    <w:name w:val="明显引用 字符"/>
    <w:basedOn w:val="17"/>
    <w:link w:val="33"/>
    <w:qFormat/>
    <w:uiPriority w:val="30"/>
    <w:rPr>
      <w:i/>
      <w:iCs/>
      <w:color w:val="104862" w:themeColor="accent1" w:themeShade="BF"/>
    </w:rPr>
  </w:style>
  <w:style w:type="character" w:customStyle="1" w:styleId="35">
    <w:name w:val="Intense Reference"/>
    <w:basedOn w:val="17"/>
    <w:qFormat/>
    <w:uiPriority w:val="32"/>
    <w:rPr>
      <w:b/>
      <w:bCs/>
      <w:smallCaps/>
      <w:color w:val="104862" w:themeColor="accent1" w:themeShade="BF"/>
      <w:spacing w:val="5"/>
    </w:rPr>
  </w:style>
  <w:style w:type="character" w:customStyle="1" w:styleId="36">
    <w:name w:val="页眉 字符"/>
    <w:basedOn w:val="17"/>
    <w:link w:val="13"/>
    <w:qFormat/>
    <w:uiPriority w:val="99"/>
    <w:rPr>
      <w:sz w:val="18"/>
      <w:szCs w:val="18"/>
    </w:rPr>
  </w:style>
  <w:style w:type="character" w:customStyle="1" w:styleId="37">
    <w:name w:val="页脚 字符"/>
    <w:basedOn w:val="17"/>
    <w:link w:val="12"/>
    <w:qFormat/>
    <w:uiPriority w:val="99"/>
    <w:rPr>
      <w:sz w:val="18"/>
      <w:szCs w:val="18"/>
    </w:rPr>
  </w:style>
  <w:style w:type="character" w:customStyle="1" w:styleId="38">
    <w:name w:val="日期 字符"/>
    <w:basedOn w:val="17"/>
    <w:link w:val="11"/>
    <w:semiHidden/>
    <w:qFormat/>
    <w:uiPriority w:val="99"/>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1660</Words>
  <Characters>1741</Characters>
  <Lines>8</Lines>
  <Paragraphs>69</Paragraphs>
  <TotalTime>62</TotalTime>
  <ScaleCrop>false</ScaleCrop>
  <LinksUpToDate>false</LinksUpToDate>
  <CharactersWithSpaces>1741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2025-04-25T03:38:00Z</dcterms:created>
  <dc:creator>Ao Echo</dc:creator>
  <cp:lastModifiedBy>志达电器小电部张银燕</cp:lastModifiedBy>
  <dcterms:modified xsi:type="dcterms:W3CDTF">2025-11-11T01:47:10Z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eyJoZGlkIjoiNGFjZjQ4ZDE5YWE0YmNmYmJmY2NiNGE5MzU1ZDVlMGMiLCJ1c2VySWQiOiIxMTMyMzc0NDQ5In0=</vt:lpwstr>
  </property>
  <property fmtid="{D5CDD505-2E9C-101B-9397-08002B2CF9AE}" pid="3" name="KSOProductBuildVer">
    <vt:lpwstr>2052-12.1.0.23542</vt:lpwstr>
  </property>
  <property fmtid="{D5CDD505-2E9C-101B-9397-08002B2CF9AE}" pid="4" name="ICV">
    <vt:lpwstr>79A6E1F9C29748CABFC54326DC494CBD_12</vt:lpwstr>
  </property>
</Properties>
</file>