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A189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14:paraId="0A8837C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2322FE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bookmarkStart w:id="0" w:name="_GoBack"/>
      <w:r>
        <w:rPr>
          <w:rFonts w:hint="eastAsia" w:ascii="宋体" w:hAnsi="宋体" w:eastAsia="宋体" w:cs="宋体"/>
          <w:b/>
          <w:bCs/>
          <w:sz w:val="44"/>
          <w:szCs w:val="44"/>
          <w:lang w:val="en-US" w:eastAsia="zh-CN"/>
        </w:rPr>
        <w:t>台山市2025年农作物秸秆综合利用项目</w:t>
      </w:r>
    </w:p>
    <w:p w14:paraId="5C090B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实施主体遴选评分表</w:t>
      </w:r>
    </w:p>
    <w:bookmarkEnd w:id="0"/>
    <w:p w14:paraId="6257684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申报单位：                                 评审时间：  年  月  日</w:t>
      </w:r>
    </w:p>
    <w:tbl>
      <w:tblPr>
        <w:tblStyle w:val="3"/>
        <w:tblW w:w="53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882"/>
        <w:gridCol w:w="1181"/>
        <w:gridCol w:w="6269"/>
        <w:gridCol w:w="896"/>
      </w:tblGrid>
      <w:tr w14:paraId="5874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 w:type="pct"/>
            <w:vAlign w:val="center"/>
          </w:tcPr>
          <w:p w14:paraId="0374E231">
            <w:pPr>
              <w:spacing w:line="36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序号</w:t>
            </w:r>
          </w:p>
        </w:tc>
        <w:tc>
          <w:tcPr>
            <w:tcW w:w="452" w:type="pct"/>
            <w:vAlign w:val="center"/>
          </w:tcPr>
          <w:p w14:paraId="539097B9">
            <w:pPr>
              <w:spacing w:line="36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评审项目</w:t>
            </w:r>
          </w:p>
        </w:tc>
        <w:tc>
          <w:tcPr>
            <w:tcW w:w="605" w:type="pct"/>
            <w:vAlign w:val="center"/>
          </w:tcPr>
          <w:p w14:paraId="6C8725B2">
            <w:pPr>
              <w:spacing w:line="36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分值</w:t>
            </w:r>
          </w:p>
        </w:tc>
        <w:tc>
          <w:tcPr>
            <w:tcW w:w="3210" w:type="pct"/>
            <w:vAlign w:val="center"/>
          </w:tcPr>
          <w:p w14:paraId="329505C9">
            <w:pPr>
              <w:spacing w:line="36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评审内容</w:t>
            </w:r>
          </w:p>
        </w:tc>
        <w:tc>
          <w:tcPr>
            <w:tcW w:w="459" w:type="pct"/>
            <w:vAlign w:val="center"/>
          </w:tcPr>
          <w:p w14:paraId="29BD0814">
            <w:pPr>
              <w:spacing w:line="36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评分</w:t>
            </w:r>
          </w:p>
        </w:tc>
      </w:tr>
      <w:tr w14:paraId="692F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272" w:type="pct"/>
            <w:vAlign w:val="center"/>
          </w:tcPr>
          <w:p w14:paraId="665BEF99">
            <w:pPr>
              <w:spacing w:line="3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452" w:type="pct"/>
            <w:vAlign w:val="center"/>
          </w:tcPr>
          <w:p w14:paraId="1BDC46AB">
            <w:pPr>
              <w:spacing w:line="3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资质情况</w:t>
            </w:r>
          </w:p>
        </w:tc>
        <w:tc>
          <w:tcPr>
            <w:tcW w:w="605" w:type="pct"/>
            <w:vAlign w:val="center"/>
          </w:tcPr>
          <w:p w14:paraId="69E6961B">
            <w:pPr>
              <w:spacing w:line="3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一票否决项</w:t>
            </w:r>
          </w:p>
        </w:tc>
        <w:tc>
          <w:tcPr>
            <w:tcW w:w="3210" w:type="pct"/>
            <w:vAlign w:val="center"/>
          </w:tcPr>
          <w:p w14:paraId="5E3BFF21">
            <w:pPr>
              <w:spacing w:line="36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val="en-US" w:eastAsia="zh-CN"/>
              </w:rPr>
              <w:t>不符合《政府采购法》第二十二条之规定。</w:t>
            </w:r>
          </w:p>
          <w:p w14:paraId="3B324785">
            <w:pPr>
              <w:spacing w:line="36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2.近三年受到相关行政处罚。</w:t>
            </w:r>
          </w:p>
          <w:p w14:paraId="0DFDDF13">
            <w:pPr>
              <w:spacing w:line="36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3.提交虚假的申报材料。</w:t>
            </w:r>
          </w:p>
          <w:p w14:paraId="4432A0EE">
            <w:pPr>
              <w:spacing w:line="360" w:lineRule="exac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4.企业联合申报。</w:t>
            </w:r>
          </w:p>
        </w:tc>
        <w:tc>
          <w:tcPr>
            <w:tcW w:w="459" w:type="pct"/>
            <w:vAlign w:val="center"/>
          </w:tcPr>
          <w:p w14:paraId="3192D7F9">
            <w:pPr>
              <w:spacing w:line="3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是□</w:t>
            </w:r>
          </w:p>
          <w:p w14:paraId="5C82BA12">
            <w:pPr>
              <w:spacing w:line="3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否□</w:t>
            </w:r>
          </w:p>
          <w:p w14:paraId="331F7A21">
            <w:pPr>
              <w:spacing w:line="360" w:lineRule="exact"/>
              <w:jc w:val="center"/>
              <w:rPr>
                <w:rFonts w:hint="eastAsia" w:ascii="仿宋_GB2312" w:hAnsi="仿宋_GB2312" w:eastAsia="仿宋_GB2312" w:cs="仿宋_GB2312"/>
                <w:kern w:val="0"/>
                <w:sz w:val="28"/>
                <w:szCs w:val="28"/>
              </w:rPr>
            </w:pPr>
          </w:p>
        </w:tc>
      </w:tr>
      <w:tr w14:paraId="5A5D6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272" w:type="pct"/>
            <w:vAlign w:val="center"/>
          </w:tcPr>
          <w:p w14:paraId="29ADADDF">
            <w:pPr>
              <w:spacing w:line="3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452" w:type="pct"/>
            <w:vAlign w:val="center"/>
          </w:tcPr>
          <w:p w14:paraId="6D6CA8B8">
            <w:pPr>
              <w:spacing w:line="360" w:lineRule="exac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主体基本情况</w:t>
            </w:r>
          </w:p>
        </w:tc>
        <w:tc>
          <w:tcPr>
            <w:tcW w:w="605" w:type="pct"/>
            <w:vAlign w:val="center"/>
          </w:tcPr>
          <w:p w14:paraId="074D1C17">
            <w:pPr>
              <w:spacing w:line="360" w:lineRule="exact"/>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15</w:t>
            </w:r>
          </w:p>
        </w:tc>
        <w:tc>
          <w:tcPr>
            <w:tcW w:w="3210" w:type="pct"/>
            <w:vAlign w:val="center"/>
          </w:tcPr>
          <w:p w14:paraId="557BBB34">
            <w:pPr>
              <w:spacing w:line="36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1.主体生产经营状况稳定，具有独立、健全的财务管理</w:t>
            </w:r>
            <w:r>
              <w:rPr>
                <w:rFonts w:hint="eastAsia" w:ascii="仿宋_GB2312" w:hAnsi="仿宋_GB2312" w:eastAsia="仿宋_GB2312" w:cs="仿宋_GB2312"/>
                <w:kern w:val="0"/>
                <w:sz w:val="28"/>
                <w:szCs w:val="28"/>
                <w:lang w:eastAsia="zh-CN"/>
              </w:rPr>
              <w:t>制度，</w:t>
            </w:r>
            <w:r>
              <w:rPr>
                <w:rFonts w:hint="eastAsia" w:ascii="仿宋_GB2312" w:hAnsi="仿宋_GB2312" w:eastAsia="仿宋_GB2312" w:cs="仿宋_GB2312"/>
                <w:kern w:val="0"/>
                <w:sz w:val="28"/>
                <w:szCs w:val="28"/>
              </w:rPr>
              <w:t>提供</w:t>
            </w:r>
            <w:r>
              <w:rPr>
                <w:rFonts w:hint="eastAsia" w:ascii="仿宋_GB2312" w:hAnsi="仿宋_GB2312" w:eastAsia="仿宋_GB2312" w:cs="仿宋_GB2312"/>
                <w:kern w:val="0"/>
                <w:sz w:val="28"/>
                <w:szCs w:val="28"/>
                <w:lang w:eastAsia="zh-CN"/>
              </w:rPr>
              <w:t>近两年财务报表得</w:t>
            </w:r>
            <w:r>
              <w:rPr>
                <w:rFonts w:hint="eastAsia" w:ascii="仿宋_GB2312" w:hAnsi="仿宋_GB2312" w:eastAsia="仿宋_GB2312" w:cs="仿宋_GB2312"/>
                <w:kern w:val="0"/>
                <w:sz w:val="28"/>
                <w:szCs w:val="28"/>
                <w:lang w:val="en-US" w:eastAsia="zh-CN"/>
              </w:rPr>
              <w:t>5分</w:t>
            </w:r>
            <w:r>
              <w:rPr>
                <w:rFonts w:hint="eastAsia" w:ascii="仿宋_GB2312" w:hAnsi="仿宋_GB2312" w:eastAsia="仿宋_GB2312" w:cs="仿宋_GB2312"/>
                <w:kern w:val="0"/>
                <w:sz w:val="28"/>
                <w:szCs w:val="28"/>
                <w:lang w:eastAsia="zh-CN"/>
              </w:rPr>
              <w:t>。</w:t>
            </w:r>
          </w:p>
          <w:p w14:paraId="63A76C13">
            <w:pPr>
              <w:spacing w:line="360" w:lineRule="exact"/>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rPr>
              <w:t>2.有分工明确的管理人员，提供</w:t>
            </w:r>
            <w:r>
              <w:rPr>
                <w:rFonts w:hint="eastAsia" w:ascii="仿宋_GB2312" w:hAnsi="仿宋_GB2312" w:eastAsia="仿宋_GB2312" w:cs="仿宋_GB2312"/>
                <w:kern w:val="0"/>
                <w:sz w:val="28"/>
                <w:szCs w:val="28"/>
                <w:lang w:eastAsia="zh-CN"/>
              </w:rPr>
              <w:t>开展秸秆综合利用项目</w:t>
            </w:r>
            <w:r>
              <w:rPr>
                <w:rFonts w:hint="eastAsia" w:ascii="仿宋_GB2312" w:hAnsi="仿宋_GB2312" w:eastAsia="仿宋_GB2312" w:cs="仿宋_GB2312"/>
                <w:kern w:val="0"/>
                <w:sz w:val="28"/>
                <w:szCs w:val="28"/>
              </w:rPr>
              <w:t>人员架构名单</w:t>
            </w:r>
            <w:r>
              <w:rPr>
                <w:rFonts w:hint="eastAsia" w:ascii="仿宋_GB2312" w:hAnsi="仿宋_GB2312" w:eastAsia="仿宋_GB2312" w:cs="仿宋_GB2312"/>
                <w:kern w:val="0"/>
                <w:sz w:val="28"/>
                <w:szCs w:val="28"/>
                <w:lang w:val="en-US" w:eastAsia="zh-CN"/>
              </w:rPr>
              <w:t>及近一年社保缴纳记录，达3人以上得5分。</w:t>
            </w:r>
          </w:p>
          <w:p w14:paraId="1F501B63">
            <w:pPr>
              <w:spacing w:line="360" w:lineRule="exac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3.</w:t>
            </w:r>
            <w:r>
              <w:rPr>
                <w:rFonts w:hint="eastAsia" w:ascii="仿宋_GB2312" w:hAnsi="仿宋_GB2312" w:eastAsia="仿宋_GB2312" w:cs="仿宋_GB2312"/>
                <w:kern w:val="0"/>
                <w:sz w:val="28"/>
                <w:szCs w:val="28"/>
                <w:lang w:val="en-US" w:eastAsia="zh-CN"/>
              </w:rPr>
              <w:t>在台山市辖区内有固定经营场所，且在台山市开展业务经营5年以上得5分，在台山市开展业务经营2-4年得3分，在台山市开展业务经营不足2年得1分。</w:t>
            </w:r>
          </w:p>
        </w:tc>
        <w:tc>
          <w:tcPr>
            <w:tcW w:w="459" w:type="pct"/>
            <w:vAlign w:val="center"/>
          </w:tcPr>
          <w:p w14:paraId="1D78380D">
            <w:pPr>
              <w:spacing w:line="360" w:lineRule="exact"/>
              <w:jc w:val="center"/>
              <w:rPr>
                <w:rFonts w:hint="eastAsia" w:ascii="仿宋_GB2312" w:hAnsi="仿宋_GB2312" w:eastAsia="仿宋_GB2312" w:cs="仿宋_GB2312"/>
                <w:kern w:val="0"/>
                <w:sz w:val="28"/>
                <w:szCs w:val="28"/>
              </w:rPr>
            </w:pPr>
          </w:p>
        </w:tc>
      </w:tr>
      <w:tr w14:paraId="15EC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272" w:type="pct"/>
            <w:vAlign w:val="center"/>
          </w:tcPr>
          <w:p w14:paraId="028E788A">
            <w:pPr>
              <w:spacing w:line="3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452" w:type="pct"/>
            <w:vAlign w:val="center"/>
          </w:tcPr>
          <w:p w14:paraId="211CAA5B">
            <w:pPr>
              <w:spacing w:line="360" w:lineRule="exac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秸秆收储利用条件</w:t>
            </w:r>
          </w:p>
        </w:tc>
        <w:tc>
          <w:tcPr>
            <w:tcW w:w="605" w:type="pct"/>
            <w:vAlign w:val="center"/>
          </w:tcPr>
          <w:p w14:paraId="3192981B">
            <w:pPr>
              <w:spacing w:line="360" w:lineRule="exac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40</w:t>
            </w:r>
          </w:p>
        </w:tc>
        <w:tc>
          <w:tcPr>
            <w:tcW w:w="3210" w:type="pct"/>
            <w:vAlign w:val="center"/>
          </w:tcPr>
          <w:p w14:paraId="2F5E6DFB">
            <w:pPr>
              <w:spacing w:line="360" w:lineRule="exac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val="en-US" w:eastAsia="zh-CN"/>
              </w:rPr>
              <w:t>在台山市辖区内具有可建设秸秆饲料化加工基地的建设用地或设施农业用地少于1000平方米不得分，超过1000平方米（含1000平方米）得10分（土地租赁的期限不得少于10年），每多100平方米（不足100平方米按照100平方米计）增加1分，此项最高得15分。</w:t>
            </w:r>
          </w:p>
          <w:p w14:paraId="2F2208DE">
            <w:pPr>
              <w:spacing w:line="360" w:lineRule="exac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2.自有或租赁秸秆运输货车、叉车、秸秆打包机、秸秆粉碎机等秸秆收储运加工设备，每一辆（台、套）得3分，此项最高得15分。</w:t>
            </w:r>
            <w:r>
              <w:rPr>
                <w:rFonts w:hint="eastAsia" w:ascii="仿宋_GB2312" w:hAnsi="仿宋_GB2312" w:eastAsia="仿宋_GB2312" w:cs="仿宋_GB2312"/>
                <w:kern w:val="0"/>
                <w:sz w:val="28"/>
                <w:szCs w:val="28"/>
                <w:lang w:val="en-US" w:eastAsia="zh-CN"/>
              </w:rPr>
              <w:br w:type="textWrapping"/>
            </w:r>
            <w:r>
              <w:rPr>
                <w:rFonts w:hint="eastAsia" w:ascii="仿宋_GB2312" w:hAnsi="仿宋_GB2312" w:eastAsia="仿宋_GB2312" w:cs="仿宋_GB2312"/>
                <w:kern w:val="0"/>
                <w:sz w:val="28"/>
                <w:szCs w:val="28"/>
                <w:lang w:val="en-US" w:eastAsia="zh-CN"/>
              </w:rPr>
              <w:t>3.与农户、合作社、家庭农场等生产主体达成合作，开展社会化服务，以合作协议为依据，拥有服务面积达100亩以上的生产主体1个可得1分，最高可得10分。</w:t>
            </w:r>
          </w:p>
        </w:tc>
        <w:tc>
          <w:tcPr>
            <w:tcW w:w="459" w:type="pct"/>
            <w:vAlign w:val="center"/>
          </w:tcPr>
          <w:p w14:paraId="2424C5A7">
            <w:pPr>
              <w:spacing w:line="360" w:lineRule="exact"/>
              <w:jc w:val="center"/>
              <w:rPr>
                <w:rFonts w:hint="eastAsia" w:ascii="仿宋_GB2312" w:hAnsi="仿宋_GB2312" w:eastAsia="仿宋_GB2312" w:cs="仿宋_GB2312"/>
                <w:kern w:val="0"/>
                <w:sz w:val="28"/>
                <w:szCs w:val="28"/>
              </w:rPr>
            </w:pPr>
          </w:p>
        </w:tc>
      </w:tr>
      <w:tr w14:paraId="3FB6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2" w:hRule="atLeast"/>
          <w:jc w:val="center"/>
        </w:trPr>
        <w:tc>
          <w:tcPr>
            <w:tcW w:w="272" w:type="pct"/>
            <w:vAlign w:val="center"/>
          </w:tcPr>
          <w:p w14:paraId="30CAF4B4">
            <w:pPr>
              <w:spacing w:line="3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452" w:type="pct"/>
            <w:vAlign w:val="center"/>
          </w:tcPr>
          <w:p w14:paraId="607775A7">
            <w:pPr>
              <w:spacing w:line="360" w:lineRule="exac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秸秆综合利用实施方案编制</w:t>
            </w:r>
          </w:p>
        </w:tc>
        <w:tc>
          <w:tcPr>
            <w:tcW w:w="605" w:type="pct"/>
            <w:vAlign w:val="center"/>
          </w:tcPr>
          <w:p w14:paraId="02058E8D">
            <w:pPr>
              <w:spacing w:line="360" w:lineRule="exac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20</w:t>
            </w:r>
          </w:p>
        </w:tc>
        <w:tc>
          <w:tcPr>
            <w:tcW w:w="3210" w:type="pct"/>
            <w:vAlign w:val="center"/>
          </w:tcPr>
          <w:p w14:paraId="570030BE">
            <w:pPr>
              <w:spacing w:line="360" w:lineRule="exact"/>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提供合理的农作物秸秆综合利用项目实施方案，包括项目的总体实施方案、企业概况、项目建设规划、质量安全保障措施、进度安排、费用预算、预估项目建成后经济效益、社会效益、生态效益等： </w:t>
            </w:r>
          </w:p>
          <w:p w14:paraId="7567D192">
            <w:pPr>
              <w:spacing w:line="360" w:lineRule="exact"/>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1.实施方案详细、完整，针对性及可行性强的，得20分； </w:t>
            </w:r>
            <w:r>
              <w:rPr>
                <w:rFonts w:hint="eastAsia" w:ascii="仿宋_GB2312" w:hAnsi="仿宋_GB2312" w:eastAsia="仿宋_GB2312" w:cs="仿宋_GB2312"/>
                <w:b w:val="0"/>
                <w:bCs w:val="0"/>
                <w:sz w:val="28"/>
                <w:szCs w:val="28"/>
                <w:vertAlign w:val="baseline"/>
                <w:lang w:val="en-US" w:eastAsia="zh-CN"/>
              </w:rPr>
              <w:br w:type="textWrapping"/>
            </w:r>
            <w:r>
              <w:rPr>
                <w:rFonts w:hint="eastAsia" w:ascii="仿宋_GB2312" w:hAnsi="仿宋_GB2312" w:eastAsia="仿宋_GB2312" w:cs="仿宋_GB2312"/>
                <w:b w:val="0"/>
                <w:bCs w:val="0"/>
                <w:sz w:val="28"/>
                <w:szCs w:val="28"/>
                <w:vertAlign w:val="baseline"/>
                <w:lang w:val="en-US" w:eastAsia="zh-CN"/>
              </w:rPr>
              <w:t>2.实施方案较详细、较完整，针对性及可行性较强的，得13分；</w:t>
            </w:r>
            <w:r>
              <w:rPr>
                <w:rFonts w:hint="eastAsia" w:ascii="仿宋_GB2312" w:hAnsi="仿宋_GB2312" w:eastAsia="仿宋_GB2312" w:cs="仿宋_GB2312"/>
                <w:b w:val="0"/>
                <w:bCs w:val="0"/>
                <w:sz w:val="28"/>
                <w:szCs w:val="28"/>
                <w:vertAlign w:val="baseline"/>
                <w:lang w:val="en-US" w:eastAsia="zh-CN"/>
              </w:rPr>
              <w:br w:type="textWrapping"/>
            </w:r>
            <w:r>
              <w:rPr>
                <w:rFonts w:hint="eastAsia" w:ascii="仿宋_GB2312" w:hAnsi="仿宋_GB2312" w:eastAsia="仿宋_GB2312" w:cs="仿宋_GB2312"/>
                <w:b w:val="0"/>
                <w:bCs w:val="0"/>
                <w:sz w:val="28"/>
                <w:szCs w:val="28"/>
                <w:vertAlign w:val="baseline"/>
                <w:lang w:val="en-US" w:eastAsia="zh-CN"/>
              </w:rPr>
              <w:t xml:space="preserve">3.实施方案简单，针对性及可行性一般的，得7分； </w:t>
            </w:r>
            <w:r>
              <w:rPr>
                <w:rFonts w:hint="eastAsia" w:ascii="仿宋_GB2312" w:hAnsi="仿宋_GB2312" w:eastAsia="仿宋_GB2312" w:cs="仿宋_GB2312"/>
                <w:b w:val="0"/>
                <w:bCs w:val="0"/>
                <w:sz w:val="28"/>
                <w:szCs w:val="28"/>
                <w:vertAlign w:val="baseline"/>
                <w:lang w:val="en-US" w:eastAsia="zh-CN"/>
              </w:rPr>
              <w:br w:type="textWrapping"/>
            </w:r>
            <w:r>
              <w:rPr>
                <w:rFonts w:hint="eastAsia" w:ascii="仿宋_GB2312" w:hAnsi="仿宋_GB2312" w:eastAsia="仿宋_GB2312" w:cs="仿宋_GB2312"/>
                <w:b w:val="0"/>
                <w:bCs w:val="0"/>
                <w:sz w:val="28"/>
                <w:szCs w:val="28"/>
                <w:vertAlign w:val="baseline"/>
                <w:lang w:val="en-US" w:eastAsia="zh-CN"/>
              </w:rPr>
              <w:t>4.不提供不得分。</w:t>
            </w:r>
          </w:p>
        </w:tc>
        <w:tc>
          <w:tcPr>
            <w:tcW w:w="459" w:type="pct"/>
            <w:vAlign w:val="center"/>
          </w:tcPr>
          <w:p w14:paraId="19392302">
            <w:pPr>
              <w:spacing w:line="360" w:lineRule="exact"/>
              <w:jc w:val="center"/>
              <w:rPr>
                <w:rFonts w:hint="eastAsia" w:ascii="仿宋_GB2312" w:hAnsi="仿宋_GB2312" w:eastAsia="仿宋_GB2312" w:cs="仿宋_GB2312"/>
                <w:kern w:val="0"/>
                <w:sz w:val="28"/>
                <w:szCs w:val="28"/>
              </w:rPr>
            </w:pPr>
          </w:p>
        </w:tc>
      </w:tr>
      <w:tr w14:paraId="6856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272" w:type="pct"/>
            <w:vAlign w:val="center"/>
          </w:tcPr>
          <w:p w14:paraId="4A8D14CA">
            <w:pPr>
              <w:spacing w:line="360" w:lineRule="exac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5</w:t>
            </w:r>
          </w:p>
        </w:tc>
        <w:tc>
          <w:tcPr>
            <w:tcW w:w="452" w:type="pct"/>
            <w:vAlign w:val="center"/>
          </w:tcPr>
          <w:p w14:paraId="01D6AE4B">
            <w:pPr>
              <w:spacing w:line="360" w:lineRule="exac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资金使用安排</w:t>
            </w:r>
          </w:p>
        </w:tc>
        <w:tc>
          <w:tcPr>
            <w:tcW w:w="605" w:type="pct"/>
            <w:vAlign w:val="center"/>
          </w:tcPr>
          <w:p w14:paraId="43FC7FB1">
            <w:pPr>
              <w:spacing w:line="360" w:lineRule="exact"/>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10</w:t>
            </w:r>
          </w:p>
        </w:tc>
        <w:tc>
          <w:tcPr>
            <w:tcW w:w="3210" w:type="pct"/>
            <w:vAlign w:val="center"/>
          </w:tcPr>
          <w:p w14:paraId="625F3DD0">
            <w:pPr>
              <w:spacing w:line="360" w:lineRule="exact"/>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提供的资金预算用途符合遴选通知要求的资金使用规定范围，资金预算细化、合理（10分）。</w:t>
            </w:r>
          </w:p>
        </w:tc>
        <w:tc>
          <w:tcPr>
            <w:tcW w:w="459" w:type="pct"/>
            <w:vAlign w:val="center"/>
          </w:tcPr>
          <w:p w14:paraId="6BD463B8">
            <w:pPr>
              <w:spacing w:line="360" w:lineRule="exact"/>
              <w:jc w:val="center"/>
              <w:rPr>
                <w:rFonts w:hint="eastAsia" w:ascii="仿宋_GB2312" w:hAnsi="仿宋_GB2312" w:eastAsia="仿宋_GB2312" w:cs="仿宋_GB2312"/>
                <w:kern w:val="0"/>
                <w:sz w:val="28"/>
                <w:szCs w:val="28"/>
              </w:rPr>
            </w:pPr>
          </w:p>
        </w:tc>
      </w:tr>
      <w:tr w14:paraId="5DA7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272" w:type="pct"/>
            <w:vAlign w:val="center"/>
          </w:tcPr>
          <w:p w14:paraId="0C8C3AD7">
            <w:pPr>
              <w:spacing w:line="360" w:lineRule="exac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6</w:t>
            </w:r>
          </w:p>
        </w:tc>
        <w:tc>
          <w:tcPr>
            <w:tcW w:w="452" w:type="pct"/>
            <w:vAlign w:val="center"/>
          </w:tcPr>
          <w:p w14:paraId="6895FF49">
            <w:pPr>
              <w:spacing w:line="360" w:lineRule="exac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主体荣誉</w:t>
            </w:r>
          </w:p>
        </w:tc>
        <w:tc>
          <w:tcPr>
            <w:tcW w:w="605" w:type="pct"/>
            <w:vAlign w:val="center"/>
          </w:tcPr>
          <w:p w14:paraId="47A6AEB5">
            <w:pPr>
              <w:spacing w:line="360" w:lineRule="exac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15</w:t>
            </w:r>
          </w:p>
        </w:tc>
        <w:tc>
          <w:tcPr>
            <w:tcW w:w="3210" w:type="pct"/>
            <w:vAlign w:val="center"/>
          </w:tcPr>
          <w:p w14:paraId="11120B27">
            <w:pPr>
              <w:spacing w:line="360" w:lineRule="exac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获得国家级荣誉的得10分，获得省级荣誉的得6分，获得市县级荣誉的得3分。</w:t>
            </w:r>
            <w:r>
              <w:rPr>
                <w:rFonts w:hint="eastAsia" w:ascii="仿宋_GB2312" w:hAnsi="仿宋_GB2312" w:eastAsia="仿宋_GB2312" w:cs="仿宋_GB2312"/>
                <w:kern w:val="0"/>
                <w:sz w:val="28"/>
                <w:szCs w:val="28"/>
                <w:highlight w:val="none"/>
                <w:lang w:val="en-US" w:eastAsia="zh-CN"/>
              </w:rPr>
              <w:t>相同性质的荣誉，以最高级计算，不得累加，</w:t>
            </w:r>
            <w:r>
              <w:rPr>
                <w:rFonts w:hint="eastAsia" w:ascii="仿宋_GB2312" w:hAnsi="仿宋_GB2312" w:eastAsia="仿宋_GB2312" w:cs="仿宋_GB2312"/>
                <w:kern w:val="0"/>
                <w:sz w:val="28"/>
                <w:szCs w:val="28"/>
                <w:lang w:val="en-US" w:eastAsia="zh-CN"/>
              </w:rPr>
              <w:t>此项最高可得15分。</w:t>
            </w:r>
          </w:p>
        </w:tc>
        <w:tc>
          <w:tcPr>
            <w:tcW w:w="459" w:type="pct"/>
            <w:vAlign w:val="center"/>
          </w:tcPr>
          <w:p w14:paraId="16EF4B24">
            <w:pPr>
              <w:spacing w:line="360" w:lineRule="exact"/>
              <w:jc w:val="center"/>
              <w:rPr>
                <w:rFonts w:hint="eastAsia" w:ascii="仿宋_GB2312" w:hAnsi="仿宋_GB2312" w:eastAsia="仿宋_GB2312" w:cs="仿宋_GB2312"/>
                <w:kern w:val="0"/>
                <w:sz w:val="28"/>
                <w:szCs w:val="28"/>
              </w:rPr>
            </w:pPr>
          </w:p>
        </w:tc>
      </w:tr>
      <w:tr w14:paraId="5E29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4540" w:type="pct"/>
            <w:gridSpan w:val="4"/>
            <w:vAlign w:val="center"/>
          </w:tcPr>
          <w:p w14:paraId="6663B9E5">
            <w:pPr>
              <w:spacing w:line="360" w:lineRule="exact"/>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综合得分</w:t>
            </w:r>
          </w:p>
        </w:tc>
        <w:tc>
          <w:tcPr>
            <w:tcW w:w="459" w:type="pct"/>
            <w:vAlign w:val="center"/>
          </w:tcPr>
          <w:p w14:paraId="3EB53E0D">
            <w:pPr>
              <w:spacing w:line="360" w:lineRule="exact"/>
              <w:jc w:val="center"/>
              <w:rPr>
                <w:rFonts w:hint="eastAsia" w:ascii="仿宋_GB2312" w:hAnsi="仿宋_GB2312" w:eastAsia="仿宋_GB2312" w:cs="仿宋_GB2312"/>
                <w:kern w:val="0"/>
                <w:sz w:val="28"/>
                <w:szCs w:val="28"/>
              </w:rPr>
            </w:pPr>
          </w:p>
        </w:tc>
      </w:tr>
    </w:tbl>
    <w:p w14:paraId="7803E681">
      <w:pPr>
        <w:rPr>
          <w:rFonts w:hint="default" w:eastAsiaTheme="minorEastAsia"/>
          <w:lang w:val="en-US" w:eastAsia="zh-CN"/>
        </w:rPr>
      </w:pPr>
      <w:r>
        <w:rPr>
          <w:rFonts w:hint="eastAsia"/>
          <w:lang w:val="en-US" w:eastAsia="zh-CN"/>
        </w:rPr>
        <w:t>评审专家签字：                                                         年    月    日</w:t>
      </w:r>
    </w:p>
    <w:sectPr>
      <w:pgSz w:w="11906" w:h="16838"/>
      <w:pgMar w:top="2211" w:right="1474" w:bottom="187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FB1BD3"/>
    <w:rsid w:val="39FB1BD3"/>
    <w:rsid w:val="6B7A0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2025-08-01T09:55:00Z</dcterms:created>
  <dc:creator>哈、6</dc:creator>
  <cp:lastModifiedBy>哈、6</cp:lastModifiedBy>
  <dcterms:modified xsi:type="dcterms:W3CDTF">2025-08-01T09:58:28Z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5C7616E12108412496E031977F7F5F72_11</vt:lpwstr>
  </property>
  <property fmtid="{D5CDD505-2E9C-101B-9397-08002B2CF9AE}" pid="4" name="KSOTemplateDocerSaveRecord">
    <vt:lpwstr>eyJoZGlkIjoiYjEyZjdhODY1ZjMzOTZlZGM3NTIyODY4MzAzZGE0YzYiLCJ1c2VySWQiOiI3NTE2MDE2MDgifQ==</vt:lpwstr>
  </property>
</Properties>
</file>