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BC" w:rsidRDefault="00645ABC" w:rsidP="00645ABC">
      <w:pPr>
        <w:spacing w:beforeLines="50" w:before="289" w:afterLines="50" w:after="289"/>
        <w:jc w:val="left"/>
        <w:rPr>
          <w:rFonts w:ascii="黑体" w:eastAsia="黑体" w:hAnsi="黑体"/>
        </w:rPr>
      </w:pPr>
      <w:r>
        <w:rPr>
          <w:rFonts w:ascii="黑体" w:eastAsia="黑体" w:hAnsi="黑体" w:hint="eastAsia"/>
        </w:rPr>
        <w:t>附件</w:t>
      </w:r>
    </w:p>
    <w:tbl>
      <w:tblPr>
        <w:tblW w:w="5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013"/>
        <w:gridCol w:w="1227"/>
        <w:gridCol w:w="1719"/>
        <w:gridCol w:w="3476"/>
        <w:gridCol w:w="1703"/>
      </w:tblGrid>
      <w:tr w:rsidR="00645ABC" w:rsidTr="009D1B5A">
        <w:trPr>
          <w:trHeight w:val="567"/>
          <w:jc w:val="center"/>
        </w:trPr>
        <w:tc>
          <w:tcPr>
            <w:tcW w:w="5000" w:type="pct"/>
            <w:gridSpan w:val="6"/>
            <w:tcBorders>
              <w:top w:val="nil"/>
              <w:left w:val="nil"/>
              <w:bottom w:val="single" w:sz="4" w:space="0" w:color="auto"/>
              <w:right w:val="nil"/>
            </w:tcBorders>
            <w:noWrap/>
            <w:vAlign w:val="center"/>
          </w:tcPr>
          <w:p w:rsidR="00645ABC" w:rsidRDefault="00645ABC" w:rsidP="00A73737">
            <w:pPr>
              <w:widowControl/>
              <w:suppressAutoHyphens/>
              <w:jc w:val="center"/>
              <w:rPr>
                <w:rFonts w:hAnsi="宋体" w:cs="宋体"/>
                <w:b/>
                <w:kern w:val="0"/>
                <w:sz w:val="28"/>
                <w:szCs w:val="28"/>
              </w:rPr>
            </w:pPr>
            <w:bookmarkStart w:id="0" w:name="_Hlk107991251"/>
            <w:r>
              <w:rPr>
                <w:rFonts w:hAnsi="宋体" w:cs="宋体" w:hint="eastAsia"/>
                <w:b/>
                <w:kern w:val="0"/>
                <w:sz w:val="28"/>
                <w:szCs w:val="28"/>
              </w:rPr>
              <w:t>台山市2023年高素质农民培育项目培训机构遴选评分表</w:t>
            </w:r>
          </w:p>
        </w:tc>
      </w:tr>
      <w:tr w:rsidR="00645ABC" w:rsidTr="009D1B5A">
        <w:trPr>
          <w:trHeight w:val="567"/>
          <w:jc w:val="center"/>
        </w:trPr>
        <w:tc>
          <w:tcPr>
            <w:tcW w:w="788" w:type="pct"/>
            <w:gridSpan w:val="2"/>
            <w:tcBorders>
              <w:top w:val="single" w:sz="4" w:space="0" w:color="auto"/>
            </w:tcBorders>
            <w:noWrap/>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项目申报单位</w:t>
            </w:r>
          </w:p>
        </w:tc>
        <w:tc>
          <w:tcPr>
            <w:tcW w:w="4212" w:type="pct"/>
            <w:gridSpan w:val="4"/>
            <w:tcBorders>
              <w:top w:val="single" w:sz="4" w:space="0" w:color="auto"/>
            </w:tcBorders>
            <w:noWrap/>
            <w:vAlign w:val="center"/>
          </w:tcPr>
          <w:p w:rsidR="00645ABC" w:rsidRDefault="00645ABC" w:rsidP="00A73737">
            <w:pPr>
              <w:widowControl/>
              <w:suppressAutoHyphens/>
              <w:spacing w:line="240" w:lineRule="exact"/>
              <w:jc w:val="center"/>
              <w:rPr>
                <w:rFonts w:ascii="宋体" w:eastAsia="宋体" w:hAnsi="Calibri" w:cs="宋体"/>
                <w:b/>
                <w:bCs/>
                <w:kern w:val="0"/>
                <w:sz w:val="22"/>
              </w:rPr>
            </w:pPr>
          </w:p>
        </w:tc>
      </w:tr>
      <w:tr w:rsidR="00645ABC" w:rsidTr="00A73737">
        <w:trPr>
          <w:trHeight w:val="567"/>
          <w:jc w:val="center"/>
        </w:trPr>
        <w:tc>
          <w:tcPr>
            <w:tcW w:w="788" w:type="pct"/>
            <w:gridSpan w:val="2"/>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kern w:val="0"/>
                <w:sz w:val="22"/>
              </w:rPr>
              <w:t>一票</w:t>
            </w:r>
            <w:r>
              <w:rPr>
                <w:rFonts w:hAnsi="宋体" w:cs="宋体" w:hint="eastAsia"/>
                <w:b/>
                <w:bCs/>
                <w:kern w:val="0"/>
                <w:sz w:val="22"/>
              </w:rPr>
              <w:t>否决项</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▲未被列入农业农村部或省农业农村厅认定的培训机构目录</w:t>
            </w:r>
          </w:p>
        </w:tc>
        <w:tc>
          <w:tcPr>
            <w:tcW w:w="883" w:type="pct"/>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是</w:t>
            </w:r>
            <w:r>
              <w:rPr>
                <w:rFonts w:ascii="Wingdings 2" w:hAnsi="Wingdings 2" w:cs="宋体"/>
                <w:kern w:val="0"/>
                <w:sz w:val="22"/>
              </w:rPr>
              <w:t></w:t>
            </w:r>
            <w:r>
              <w:rPr>
                <w:rFonts w:hAnsi="宋体" w:cs="宋体"/>
                <w:kern w:val="0"/>
                <w:sz w:val="22"/>
              </w:rPr>
              <w:t xml:space="preserve">  </w:t>
            </w:r>
            <w:r>
              <w:rPr>
                <w:rFonts w:hAnsi="宋体" w:cs="宋体" w:hint="eastAsia"/>
                <w:kern w:val="0"/>
                <w:sz w:val="22"/>
              </w:rPr>
              <w:t>否</w:t>
            </w:r>
            <w:r>
              <w:rPr>
                <w:rFonts w:ascii="Wingdings 2" w:hAnsi="Wingdings 2" w:cs="宋体"/>
                <w:kern w:val="0"/>
                <w:sz w:val="22"/>
              </w:rPr>
              <w:t></w:t>
            </w:r>
          </w:p>
        </w:tc>
      </w:tr>
      <w:tr w:rsidR="00645ABC" w:rsidTr="00A73737">
        <w:trPr>
          <w:trHeight w:val="567"/>
          <w:jc w:val="center"/>
        </w:trPr>
        <w:tc>
          <w:tcPr>
            <w:tcW w:w="788" w:type="pct"/>
            <w:gridSpan w:val="2"/>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▲上一年度存在培育项目验收不合格</w:t>
            </w:r>
            <w:r>
              <w:rPr>
                <w:rFonts w:hAnsi="宋体" w:cs="宋体"/>
                <w:kern w:val="0"/>
                <w:sz w:val="22"/>
              </w:rPr>
              <w:t>(以首次验收结果为准）或对未按期完成验收且应承担主要责任的</w:t>
            </w:r>
            <w:r>
              <w:rPr>
                <w:rFonts w:hAnsi="宋体" w:cs="宋体" w:hint="eastAsia"/>
                <w:kern w:val="0"/>
                <w:sz w:val="22"/>
              </w:rPr>
              <w:t>机构</w:t>
            </w:r>
          </w:p>
        </w:tc>
        <w:tc>
          <w:tcPr>
            <w:tcW w:w="883" w:type="pct"/>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是</w:t>
            </w:r>
            <w:r>
              <w:rPr>
                <w:rFonts w:ascii="Wingdings 2" w:hAnsi="Wingdings 2" w:cs="宋体"/>
                <w:kern w:val="0"/>
                <w:sz w:val="22"/>
              </w:rPr>
              <w:t></w:t>
            </w:r>
            <w:r>
              <w:rPr>
                <w:rFonts w:hAnsi="宋体" w:cs="宋体"/>
                <w:kern w:val="0"/>
                <w:sz w:val="22"/>
              </w:rPr>
              <w:t xml:space="preserve">  </w:t>
            </w:r>
            <w:r>
              <w:rPr>
                <w:rFonts w:hAnsi="宋体" w:cs="宋体" w:hint="eastAsia"/>
                <w:kern w:val="0"/>
                <w:sz w:val="22"/>
              </w:rPr>
              <w:t>否</w:t>
            </w:r>
            <w:r>
              <w:rPr>
                <w:rFonts w:ascii="Wingdings 2" w:hAnsi="Wingdings 2" w:cs="宋体"/>
                <w:kern w:val="0"/>
                <w:sz w:val="22"/>
              </w:rPr>
              <w:t></w:t>
            </w:r>
          </w:p>
        </w:tc>
      </w:tr>
      <w:tr w:rsidR="00645ABC" w:rsidTr="00A73737">
        <w:trPr>
          <w:trHeight w:val="567"/>
          <w:jc w:val="center"/>
        </w:trPr>
        <w:tc>
          <w:tcPr>
            <w:tcW w:w="788" w:type="pct"/>
            <w:gridSpan w:val="2"/>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▲提供虚假证明或佐证材料造假</w:t>
            </w:r>
          </w:p>
        </w:tc>
        <w:tc>
          <w:tcPr>
            <w:tcW w:w="883" w:type="pct"/>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是</w:t>
            </w:r>
            <w:r>
              <w:rPr>
                <w:rFonts w:ascii="Wingdings 2" w:hAnsi="Wingdings 2" w:cs="宋体"/>
                <w:kern w:val="0"/>
                <w:sz w:val="22"/>
              </w:rPr>
              <w:t></w:t>
            </w:r>
            <w:r>
              <w:rPr>
                <w:rFonts w:hAnsi="宋体" w:cs="宋体"/>
                <w:kern w:val="0"/>
                <w:sz w:val="22"/>
              </w:rPr>
              <w:t xml:space="preserve">  </w:t>
            </w:r>
            <w:r>
              <w:rPr>
                <w:rFonts w:hAnsi="宋体" w:cs="宋体" w:hint="eastAsia"/>
                <w:kern w:val="0"/>
                <w:sz w:val="22"/>
              </w:rPr>
              <w:t>否</w:t>
            </w:r>
            <w:r>
              <w:rPr>
                <w:rFonts w:ascii="Wingdings 2" w:hAnsi="Wingdings 2" w:cs="宋体"/>
                <w:kern w:val="0"/>
                <w:sz w:val="22"/>
              </w:rPr>
              <w:t></w:t>
            </w:r>
          </w:p>
        </w:tc>
      </w:tr>
      <w:tr w:rsidR="00645ABC" w:rsidTr="00A73737">
        <w:trPr>
          <w:trHeight w:val="567"/>
          <w:jc w:val="center"/>
        </w:trPr>
        <w:tc>
          <w:tcPr>
            <w:tcW w:w="26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序号</w:t>
            </w:r>
          </w:p>
        </w:tc>
        <w:tc>
          <w:tcPr>
            <w:tcW w:w="525"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评审</w:t>
            </w:r>
          </w:p>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项目</w:t>
            </w:r>
          </w:p>
        </w:tc>
        <w:tc>
          <w:tcPr>
            <w:tcW w:w="3329" w:type="pct"/>
            <w:gridSpan w:val="3"/>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项目评分参考内容</w:t>
            </w:r>
          </w:p>
        </w:tc>
        <w:tc>
          <w:tcPr>
            <w:tcW w:w="88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得分</w:t>
            </w:r>
          </w:p>
        </w:tc>
      </w:tr>
      <w:tr w:rsidR="00645ABC" w:rsidTr="00A73737">
        <w:trPr>
          <w:trHeight w:val="567"/>
          <w:jc w:val="center"/>
        </w:trPr>
        <w:tc>
          <w:tcPr>
            <w:tcW w:w="263" w:type="pct"/>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1</w:t>
            </w:r>
          </w:p>
        </w:tc>
        <w:tc>
          <w:tcPr>
            <w:tcW w:w="525" w:type="pct"/>
            <w:vMerge w:val="restar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培训机构资质条件（</w:t>
            </w:r>
            <w:r>
              <w:rPr>
                <w:rFonts w:hAnsi="宋体" w:cs="宋体"/>
                <w:b/>
                <w:bCs/>
                <w:kern w:val="0"/>
                <w:sz w:val="22"/>
              </w:rPr>
              <w:t>15</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获得农业农村部认定的培训基地</w:t>
            </w:r>
            <w:r>
              <w:rPr>
                <w:rFonts w:hAnsi="宋体" w:cs="宋体"/>
                <w:kern w:val="0"/>
                <w:sz w:val="22"/>
              </w:rPr>
              <w:t>(10</w:t>
            </w:r>
            <w:r>
              <w:rPr>
                <w:rFonts w:hAnsi="宋体" w:cs="宋体" w:hint="eastAsia"/>
                <w:kern w:val="0"/>
                <w:sz w:val="22"/>
              </w:rPr>
              <w:t>分），获得省农业农村厅认定的培训基地</w:t>
            </w:r>
            <w:r>
              <w:rPr>
                <w:rFonts w:hAnsi="宋体" w:cs="宋体"/>
                <w:kern w:val="0"/>
                <w:sz w:val="22"/>
              </w:rPr>
              <w:t xml:space="preserve"> (5</w:t>
            </w:r>
            <w:r>
              <w:rPr>
                <w:rFonts w:hAnsi="宋体" w:cs="宋体" w:hint="eastAsia"/>
                <w:kern w:val="0"/>
                <w:sz w:val="22"/>
              </w:rPr>
              <w:t>分</w:t>
            </w:r>
            <w:r>
              <w:rPr>
                <w:rFonts w:hAnsi="宋体" w:cs="宋体"/>
                <w:kern w:val="0"/>
                <w:sz w:val="22"/>
              </w:rPr>
              <w:t>)</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申报单位具有独立法人资格，不接受两个或两个以上机构合作申报（</w:t>
            </w:r>
            <w:r>
              <w:rPr>
                <w:rFonts w:hAnsi="宋体" w:cs="宋体"/>
                <w:kern w:val="0"/>
                <w:sz w:val="22"/>
              </w:rPr>
              <w:t>5</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2</w:t>
            </w:r>
          </w:p>
        </w:tc>
        <w:tc>
          <w:tcPr>
            <w:tcW w:w="525" w:type="pct"/>
            <w:vMerge w:val="restar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培训机构的工作基础（</w:t>
            </w:r>
            <w:r>
              <w:rPr>
                <w:rFonts w:hAnsi="宋体" w:cs="宋体"/>
                <w:b/>
                <w:bCs/>
                <w:kern w:val="0"/>
                <w:sz w:val="22"/>
              </w:rPr>
              <w:t>27</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最近三年培训学员满意度。满意度</w:t>
            </w:r>
            <w:r>
              <w:rPr>
                <w:rFonts w:ascii="Arial" w:hAnsi="Arial" w:cs="Arial"/>
                <w:kern w:val="0"/>
                <w:sz w:val="22"/>
              </w:rPr>
              <w:t>≥</w:t>
            </w:r>
            <w:r>
              <w:rPr>
                <w:rFonts w:hAnsi="宋体" w:cs="宋体"/>
                <w:kern w:val="0"/>
                <w:sz w:val="22"/>
              </w:rPr>
              <w:t>95%</w:t>
            </w:r>
            <w:r>
              <w:rPr>
                <w:rFonts w:hAnsi="宋体" w:cs="宋体" w:hint="eastAsia"/>
                <w:kern w:val="0"/>
                <w:sz w:val="22"/>
              </w:rPr>
              <w:t>，得</w:t>
            </w:r>
            <w:r>
              <w:rPr>
                <w:rFonts w:hAnsi="宋体" w:cs="宋体"/>
                <w:kern w:val="0"/>
                <w:sz w:val="22"/>
              </w:rPr>
              <w:t>15</w:t>
            </w:r>
            <w:r>
              <w:rPr>
                <w:rFonts w:hAnsi="宋体" w:cs="宋体" w:hint="eastAsia"/>
                <w:kern w:val="0"/>
                <w:sz w:val="22"/>
              </w:rPr>
              <w:t>分；</w:t>
            </w:r>
            <w:r>
              <w:rPr>
                <w:rFonts w:hAnsi="宋体" w:cs="宋体"/>
                <w:kern w:val="0"/>
                <w:sz w:val="22"/>
              </w:rPr>
              <w:t>90%</w:t>
            </w:r>
            <w:r>
              <w:rPr>
                <w:rFonts w:ascii="Arial" w:hAnsi="Arial" w:cs="Arial"/>
                <w:kern w:val="0"/>
                <w:sz w:val="22"/>
              </w:rPr>
              <w:t>≤</w:t>
            </w:r>
            <w:r>
              <w:rPr>
                <w:rFonts w:hAnsi="宋体" w:cs="宋体" w:hint="eastAsia"/>
                <w:kern w:val="0"/>
                <w:sz w:val="22"/>
              </w:rPr>
              <w:t>满意度</w:t>
            </w:r>
            <w:r>
              <w:rPr>
                <w:rFonts w:ascii="微软雅黑" w:eastAsia="微软雅黑" w:hAnsi="微软雅黑" w:cs="宋体"/>
                <w:kern w:val="0"/>
                <w:sz w:val="22"/>
              </w:rPr>
              <w:t>&lt;</w:t>
            </w:r>
            <w:r>
              <w:rPr>
                <w:rFonts w:hAnsi="宋体" w:cs="宋体"/>
                <w:kern w:val="0"/>
                <w:sz w:val="22"/>
              </w:rPr>
              <w:t>95%</w:t>
            </w:r>
            <w:r>
              <w:rPr>
                <w:rFonts w:hAnsi="宋体" w:cs="宋体" w:hint="eastAsia"/>
                <w:kern w:val="0"/>
                <w:sz w:val="22"/>
              </w:rPr>
              <w:t>，得</w:t>
            </w:r>
            <w:r>
              <w:rPr>
                <w:rFonts w:hAnsi="宋体" w:cs="宋体"/>
                <w:kern w:val="0"/>
                <w:sz w:val="22"/>
              </w:rPr>
              <w:t>10</w:t>
            </w:r>
            <w:r>
              <w:rPr>
                <w:rFonts w:hAnsi="宋体" w:cs="宋体" w:hint="eastAsia"/>
                <w:kern w:val="0"/>
                <w:sz w:val="22"/>
              </w:rPr>
              <w:t>分；</w:t>
            </w:r>
            <w:r>
              <w:rPr>
                <w:rFonts w:hAnsi="宋体" w:cs="宋体"/>
                <w:kern w:val="0"/>
                <w:sz w:val="22"/>
              </w:rPr>
              <w:t>85%</w:t>
            </w:r>
            <w:r>
              <w:rPr>
                <w:rFonts w:ascii="Arial" w:hAnsi="Arial" w:cs="Arial"/>
                <w:kern w:val="0"/>
                <w:sz w:val="22"/>
              </w:rPr>
              <w:t>≤</w:t>
            </w:r>
            <w:r>
              <w:rPr>
                <w:rFonts w:hAnsi="宋体" w:cs="宋体" w:hint="eastAsia"/>
                <w:kern w:val="0"/>
                <w:sz w:val="22"/>
              </w:rPr>
              <w:t>满意度</w:t>
            </w:r>
            <w:r>
              <w:rPr>
                <w:rFonts w:ascii="微软雅黑" w:eastAsia="微软雅黑" w:hAnsi="微软雅黑" w:cs="宋体"/>
                <w:kern w:val="0"/>
                <w:sz w:val="22"/>
              </w:rPr>
              <w:t>&lt;</w:t>
            </w:r>
            <w:r>
              <w:rPr>
                <w:rFonts w:hAnsi="宋体" w:cs="宋体"/>
                <w:kern w:val="0"/>
                <w:sz w:val="22"/>
              </w:rPr>
              <w:t>90%</w:t>
            </w:r>
            <w:r>
              <w:rPr>
                <w:rFonts w:hAnsi="宋体" w:cs="宋体" w:hint="eastAsia"/>
                <w:kern w:val="0"/>
                <w:sz w:val="22"/>
              </w:rPr>
              <w:t>，得</w:t>
            </w:r>
            <w:r>
              <w:rPr>
                <w:rFonts w:hAnsi="宋体" w:cs="宋体"/>
                <w:kern w:val="0"/>
                <w:sz w:val="22"/>
              </w:rPr>
              <w:t>5</w:t>
            </w:r>
            <w:r>
              <w:rPr>
                <w:rFonts w:hAnsi="宋体" w:cs="宋体" w:hint="eastAsia"/>
                <w:kern w:val="0"/>
                <w:sz w:val="22"/>
              </w:rPr>
              <w:t>分。满意度低于</w:t>
            </w:r>
            <w:r>
              <w:rPr>
                <w:rFonts w:hAnsi="宋体" w:cs="宋体"/>
                <w:kern w:val="0"/>
                <w:sz w:val="22"/>
              </w:rPr>
              <w:t>85%</w:t>
            </w:r>
            <w:r>
              <w:rPr>
                <w:rFonts w:hAnsi="宋体" w:cs="宋体" w:hint="eastAsia"/>
                <w:kern w:val="0"/>
                <w:sz w:val="22"/>
              </w:rPr>
              <w:t>不得分。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有集中教学场所及配套设施设备</w:t>
            </w:r>
            <w:r>
              <w:rPr>
                <w:rFonts w:hAnsi="宋体" w:cs="宋体"/>
                <w:kern w:val="0"/>
                <w:sz w:val="22"/>
              </w:rPr>
              <w:t>(</w:t>
            </w:r>
            <w:r>
              <w:rPr>
                <w:rFonts w:hAnsi="宋体" w:cs="宋体" w:hint="eastAsia"/>
                <w:kern w:val="0"/>
                <w:sz w:val="22"/>
              </w:rPr>
              <w:t>提供照片及清单）（</w:t>
            </w:r>
            <w:r>
              <w:rPr>
                <w:rFonts w:hAnsi="宋体" w:cs="宋体"/>
                <w:kern w:val="0"/>
                <w:sz w:val="22"/>
              </w:rPr>
              <w:t>3</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有实习实训场所或合作实训基地（提供场所证明）（</w:t>
            </w:r>
            <w:r>
              <w:rPr>
                <w:rFonts w:hAnsi="宋体" w:cs="宋体"/>
                <w:kern w:val="0"/>
                <w:sz w:val="22"/>
              </w:rPr>
              <w:t>3</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有专职教学管理人员和专兼职教师队伍（提供人员名单）（</w:t>
            </w:r>
            <w:r>
              <w:rPr>
                <w:rFonts w:hAnsi="宋体" w:cs="宋体"/>
                <w:kern w:val="0"/>
                <w:sz w:val="22"/>
              </w:rPr>
              <w:t>3</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有培训目标所要求的其他软硬件条件（提供照片等佐证材料）（</w:t>
            </w:r>
            <w:r>
              <w:rPr>
                <w:rFonts w:hAnsi="宋体" w:cs="宋体"/>
                <w:kern w:val="0"/>
                <w:sz w:val="22"/>
              </w:rPr>
              <w:t>3</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restart"/>
            <w:vAlign w:val="center"/>
          </w:tcPr>
          <w:p w:rsidR="00645ABC" w:rsidRDefault="00645ABC" w:rsidP="00A73737">
            <w:pPr>
              <w:suppressAutoHyphens/>
              <w:spacing w:line="240" w:lineRule="exact"/>
              <w:jc w:val="center"/>
              <w:rPr>
                <w:rFonts w:hAnsi="宋体" w:cs="宋体"/>
                <w:b/>
                <w:bCs/>
                <w:kern w:val="0"/>
                <w:sz w:val="22"/>
              </w:rPr>
            </w:pPr>
            <w:r>
              <w:rPr>
                <w:rFonts w:hAnsi="宋体" w:cs="宋体"/>
                <w:b/>
                <w:bCs/>
                <w:kern w:val="0"/>
                <w:sz w:val="22"/>
              </w:rPr>
              <w:t>3</w:t>
            </w:r>
          </w:p>
        </w:tc>
        <w:tc>
          <w:tcPr>
            <w:tcW w:w="525" w:type="pct"/>
            <w:vMerge w:val="restart"/>
            <w:vAlign w:val="center"/>
          </w:tcPr>
          <w:p w:rsidR="00645ABC" w:rsidRDefault="00645ABC" w:rsidP="00A73737">
            <w:pPr>
              <w:suppressAutoHyphens/>
              <w:spacing w:line="240" w:lineRule="exact"/>
              <w:rPr>
                <w:rFonts w:hAnsi="宋体" w:cs="宋体"/>
                <w:b/>
                <w:bCs/>
                <w:kern w:val="0"/>
                <w:sz w:val="22"/>
              </w:rPr>
            </w:pPr>
            <w:r>
              <w:rPr>
                <w:rFonts w:hAnsi="宋体" w:cs="宋体" w:hint="eastAsia"/>
                <w:b/>
                <w:bCs/>
                <w:kern w:val="0"/>
                <w:sz w:val="22"/>
              </w:rPr>
              <w:t>培训机构项目实施条件（</w:t>
            </w:r>
            <w:r>
              <w:rPr>
                <w:rFonts w:hAnsi="宋体" w:cs="宋体"/>
                <w:b/>
                <w:bCs/>
                <w:kern w:val="0"/>
                <w:sz w:val="22"/>
              </w:rPr>
              <w:t>38</w:t>
            </w:r>
            <w:r>
              <w:rPr>
                <w:rFonts w:hAnsi="宋体" w:cs="宋体" w:hint="eastAsia"/>
                <w:b/>
                <w:bCs/>
                <w:kern w:val="0"/>
                <w:sz w:val="22"/>
              </w:rPr>
              <w:t>分）</w:t>
            </w:r>
          </w:p>
        </w:tc>
        <w:tc>
          <w:tcPr>
            <w:tcW w:w="636" w:type="pct"/>
            <w:vMerge w:val="restart"/>
            <w:vAlign w:val="center"/>
          </w:tcPr>
          <w:p w:rsidR="00645ABC" w:rsidRDefault="00645ABC" w:rsidP="00A73737">
            <w:pPr>
              <w:suppressAutoHyphens/>
              <w:spacing w:line="240" w:lineRule="exact"/>
              <w:rPr>
                <w:rFonts w:hAnsi="宋体" w:cs="宋体"/>
                <w:kern w:val="0"/>
                <w:sz w:val="22"/>
              </w:rPr>
            </w:pPr>
            <w:r>
              <w:rPr>
                <w:rFonts w:hAnsi="宋体" w:cs="宋体" w:hint="eastAsia"/>
                <w:kern w:val="0"/>
                <w:sz w:val="22"/>
              </w:rPr>
              <w:t>根据广东省农业农村厅《2023年广东省高素质农民培育工作实施方案》的要求制定培训方案（</w:t>
            </w:r>
            <w:r>
              <w:rPr>
                <w:rFonts w:hAnsi="宋体" w:cs="宋体"/>
                <w:kern w:val="0"/>
                <w:sz w:val="22"/>
              </w:rPr>
              <w:t>35</w:t>
            </w:r>
            <w:r>
              <w:rPr>
                <w:rFonts w:hAnsi="宋体" w:cs="宋体" w:hint="eastAsia"/>
                <w:kern w:val="0"/>
                <w:sz w:val="22"/>
              </w:rPr>
              <w:t>分，不符合要求的项目不得分）</w:t>
            </w: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围绕粮油稳产保供任务开设的班次和培育人数不低于</w:t>
            </w:r>
            <w:r>
              <w:rPr>
                <w:rFonts w:hAnsi="宋体" w:cs="宋体"/>
                <w:kern w:val="0"/>
                <w:sz w:val="22"/>
              </w:rPr>
              <w:t>40%</w:t>
            </w:r>
            <w:r>
              <w:rPr>
                <w:rFonts w:hAnsi="宋体" w:cs="宋体" w:hint="eastAsia"/>
                <w:kern w:val="0"/>
                <w:sz w:val="22"/>
              </w:rPr>
              <w:t>（3分）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center"/>
              <w:rPr>
                <w:rFonts w:hAnsi="宋体" w:cs="宋体"/>
                <w:b/>
                <w:bCs/>
                <w:kern w:val="0"/>
                <w:sz w:val="22"/>
              </w:rPr>
            </w:pPr>
          </w:p>
        </w:tc>
        <w:tc>
          <w:tcPr>
            <w:tcW w:w="525" w:type="pct"/>
            <w:vMerge/>
            <w:vAlign w:val="center"/>
          </w:tcPr>
          <w:p w:rsidR="00645ABC" w:rsidRDefault="00645ABC" w:rsidP="00A73737">
            <w:pPr>
              <w:widowControl/>
              <w:suppressAutoHyphens/>
              <w:spacing w:line="240" w:lineRule="exact"/>
              <w:rPr>
                <w:rFonts w:hAnsi="宋体" w:cs="宋体"/>
                <w:b/>
                <w:bCs/>
                <w:kern w:val="0"/>
                <w:sz w:val="22"/>
              </w:rPr>
            </w:pPr>
          </w:p>
        </w:tc>
        <w:tc>
          <w:tcPr>
            <w:tcW w:w="636" w:type="pct"/>
            <w:vMerge/>
            <w:vAlign w:val="center"/>
          </w:tcPr>
          <w:p w:rsidR="00645ABC" w:rsidRDefault="00645ABC" w:rsidP="00A73737">
            <w:pPr>
              <w:widowControl/>
              <w:suppressAutoHyphens/>
              <w:spacing w:line="240" w:lineRule="exac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培训课程和学时设置合理，培育时间不少于</w:t>
            </w:r>
            <w:r>
              <w:rPr>
                <w:rFonts w:hAnsi="宋体" w:cs="宋体"/>
                <w:kern w:val="0"/>
                <w:sz w:val="22"/>
              </w:rPr>
              <w:t>6天（且不少于48学时）；</w:t>
            </w:r>
            <w:r>
              <w:rPr>
                <w:rFonts w:hAnsi="宋体" w:cs="宋体" w:hint="eastAsia"/>
                <w:kern w:val="0"/>
                <w:sz w:val="22"/>
              </w:rPr>
              <w:t>综合素养课学时数不低于总学时数的</w:t>
            </w:r>
            <w:r>
              <w:rPr>
                <w:rFonts w:hAnsi="宋体" w:cs="宋体"/>
                <w:kern w:val="0"/>
                <w:sz w:val="22"/>
              </w:rPr>
              <w:t>8%</w:t>
            </w:r>
            <w:r>
              <w:rPr>
                <w:rFonts w:hAnsi="宋体" w:cs="宋体" w:hint="eastAsia"/>
                <w:kern w:val="0"/>
                <w:sz w:val="22"/>
              </w:rPr>
              <w:t>、专业能力课学时数不低于总学时数的</w:t>
            </w:r>
            <w:r>
              <w:rPr>
                <w:rFonts w:hAnsi="宋体" w:cs="宋体"/>
                <w:kern w:val="0"/>
                <w:sz w:val="22"/>
              </w:rPr>
              <w:t>55%</w:t>
            </w:r>
            <w:r>
              <w:rPr>
                <w:rFonts w:hAnsi="宋体" w:cs="宋体" w:hint="eastAsia"/>
                <w:kern w:val="0"/>
                <w:sz w:val="22"/>
              </w:rPr>
              <w:t>、能力拓展课学时数不低于总学时数的</w:t>
            </w:r>
            <w:r>
              <w:rPr>
                <w:rFonts w:hAnsi="宋体" w:cs="宋体"/>
                <w:kern w:val="0"/>
                <w:sz w:val="22"/>
              </w:rPr>
              <w:t>15%</w:t>
            </w:r>
            <w:r>
              <w:rPr>
                <w:rFonts w:hAnsi="宋体" w:cs="宋体" w:hint="eastAsia"/>
                <w:kern w:val="0"/>
                <w:sz w:val="22"/>
              </w:rPr>
              <w:t>（5分）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center"/>
              <w:rPr>
                <w:rFonts w:hAnsi="宋体" w:cs="宋体"/>
                <w:b/>
                <w:bCs/>
                <w:kern w:val="0"/>
                <w:sz w:val="22"/>
              </w:rPr>
            </w:pPr>
          </w:p>
        </w:tc>
        <w:tc>
          <w:tcPr>
            <w:tcW w:w="525" w:type="pct"/>
            <w:vMerge/>
            <w:vAlign w:val="center"/>
          </w:tcPr>
          <w:p w:rsidR="00645ABC" w:rsidRDefault="00645ABC" w:rsidP="00A73737">
            <w:pPr>
              <w:widowControl/>
              <w:suppressAutoHyphens/>
              <w:spacing w:line="240" w:lineRule="exact"/>
              <w:rPr>
                <w:rFonts w:hAnsi="宋体" w:cs="宋体"/>
                <w:b/>
                <w:bCs/>
                <w:kern w:val="0"/>
                <w:sz w:val="22"/>
              </w:rPr>
            </w:pPr>
          </w:p>
        </w:tc>
        <w:tc>
          <w:tcPr>
            <w:tcW w:w="636" w:type="pct"/>
            <w:vMerge/>
            <w:vAlign w:val="center"/>
          </w:tcPr>
          <w:p w:rsidR="00645ABC" w:rsidRDefault="00645ABC" w:rsidP="00A73737">
            <w:pPr>
              <w:widowControl/>
              <w:suppressAutoHyphens/>
              <w:spacing w:line="240" w:lineRule="exac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理论讲师具有相关专业授课背景的院校教师。（</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技术讲师具备相应技术理论和实践能力的院校教师、科研推广机构专家、各类农业主体专业技术人员或“广东农村乡土专家”等（</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政策讲师为熟悉“三农”情况、具备相应政策理论水平的院校教师，或相关部门工作人员（不含退休人员）（</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实践讲师具备相应职业技能证书或3年以上（含）实践经验（</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创业导师和电商网红讲师具有创业成功或指导创业成功经验相关人士（</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培训机构需购买正式出版的教材，防止盗版教材或自编教材乱报价等现象。发放</w:t>
            </w:r>
            <w:r>
              <w:rPr>
                <w:rFonts w:hAnsi="宋体" w:cs="宋体"/>
                <w:kern w:val="0"/>
                <w:sz w:val="22"/>
              </w:rPr>
              <w:t>4</w:t>
            </w:r>
            <w:r>
              <w:rPr>
                <w:rFonts w:hAnsi="宋体" w:cs="宋体" w:hint="eastAsia"/>
                <w:kern w:val="0"/>
                <w:sz w:val="22"/>
              </w:rPr>
              <w:t>本或</w:t>
            </w:r>
            <w:r>
              <w:rPr>
                <w:rFonts w:hAnsi="宋体" w:cs="宋体"/>
                <w:kern w:val="0"/>
                <w:sz w:val="22"/>
              </w:rPr>
              <w:t>4</w:t>
            </w:r>
            <w:r>
              <w:rPr>
                <w:rFonts w:hAnsi="宋体" w:cs="宋体" w:hint="eastAsia"/>
                <w:kern w:val="0"/>
                <w:sz w:val="22"/>
              </w:rPr>
              <w:t>本以上教材资料，并向项目主管单位提供1份授课老师精品课程DVD光盘资料和完整的培训资料电子档案。（</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1338"/>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组织学员到2个以上涉农高校、国家（省、市）现代农业产业园、生态农业产业园、现代农业科技示范展示基地或省级认定的高素质农民培育示范基地（以上统称实训学习基地）进行实训、参观、交流和学习，聘请实训学习基地专业人员授课（</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832"/>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组织学员利用全国农业科教云平台、“云上智农”APP或广东精农网络培训学院开展线上学习（</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组织学员到省（市）电商产业园、省农村实用人才（数字化类）培训基地、农村电商基层示范站或县（区）电商基地参观学习，聘请企业高管授课（</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申报单位承诺不得将项目分包、转包。如存在将培训项目分包、转包，取消培训任务并追缴项目资金（提供承诺函）（</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4</w:t>
            </w:r>
          </w:p>
        </w:tc>
        <w:tc>
          <w:tcPr>
            <w:tcW w:w="525" w:type="pc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培训机构对项目实施可行性（</w:t>
            </w:r>
            <w:r>
              <w:rPr>
                <w:rFonts w:hAnsi="宋体" w:cs="宋体"/>
                <w:b/>
                <w:bCs/>
                <w:kern w:val="0"/>
                <w:sz w:val="22"/>
              </w:rPr>
              <w:t>5</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信息员的配备：配备有专职的信息员负责信息管理平台的使用和管理（</w:t>
            </w:r>
            <w:r>
              <w:rPr>
                <w:rFonts w:hAnsi="宋体" w:cs="宋体"/>
                <w:kern w:val="0"/>
                <w:sz w:val="22"/>
              </w:rPr>
              <w:t>5</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5</w:t>
            </w:r>
          </w:p>
        </w:tc>
        <w:tc>
          <w:tcPr>
            <w:tcW w:w="525" w:type="pc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资金预算和使用合理性（</w:t>
            </w:r>
            <w:r>
              <w:rPr>
                <w:rFonts w:hAnsi="宋体" w:cs="宋体"/>
                <w:b/>
                <w:bCs/>
                <w:kern w:val="0"/>
                <w:sz w:val="22"/>
              </w:rPr>
              <w:t>10</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申报单位须有健全账务部门和财务管理制度；资金用途符合《2023年广东省高素质农民培育工作实施方案》的资金规定范围，资金预算细化、合理；遵守培育项目及相关的资金管理规定。</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6</w:t>
            </w:r>
          </w:p>
        </w:tc>
        <w:tc>
          <w:tcPr>
            <w:tcW w:w="525" w:type="pc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示范带动作用与延伸服务（</w:t>
            </w:r>
            <w:r>
              <w:rPr>
                <w:rFonts w:hAnsi="宋体" w:cs="宋体"/>
                <w:b/>
                <w:bCs/>
                <w:kern w:val="0"/>
                <w:sz w:val="22"/>
              </w:rPr>
              <w:t>5</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能够加强政策和先进典型宣传，搭建交流平台，大力宣传成功案例和高素质农民典型等培</w:t>
            </w:r>
            <w:bookmarkStart w:id="1" w:name="_GoBack"/>
            <w:bookmarkEnd w:id="1"/>
            <w:r>
              <w:rPr>
                <w:rFonts w:hAnsi="宋体" w:cs="宋体" w:hint="eastAsia"/>
                <w:kern w:val="0"/>
                <w:sz w:val="22"/>
              </w:rPr>
              <w:t>育成果，营造关心支持培育新型职业农民的良好氛围，壮大新型职业农民队伍。未能提供培训班或学员成功案例的报道，不得分。提供</w:t>
            </w:r>
            <w:r>
              <w:rPr>
                <w:rFonts w:hAnsi="宋体" w:cs="宋体"/>
                <w:kern w:val="0"/>
                <w:sz w:val="22"/>
              </w:rPr>
              <w:t>1</w:t>
            </w:r>
            <w:r>
              <w:rPr>
                <w:rFonts w:hAnsi="宋体" w:cs="宋体" w:hint="eastAsia"/>
                <w:kern w:val="0"/>
                <w:sz w:val="22"/>
              </w:rPr>
              <w:t>篇案例的得</w:t>
            </w:r>
            <w:r>
              <w:rPr>
                <w:rFonts w:hAnsi="宋体" w:cs="宋体"/>
                <w:kern w:val="0"/>
                <w:sz w:val="22"/>
              </w:rPr>
              <w:t>1</w:t>
            </w:r>
            <w:r>
              <w:rPr>
                <w:rFonts w:hAnsi="宋体" w:cs="宋体" w:hint="eastAsia"/>
                <w:kern w:val="0"/>
                <w:sz w:val="22"/>
              </w:rPr>
              <w:t>分，最多得</w:t>
            </w:r>
            <w:r>
              <w:rPr>
                <w:rFonts w:hAnsi="宋体" w:cs="宋体"/>
                <w:kern w:val="0"/>
                <w:sz w:val="22"/>
              </w:rPr>
              <w:t>5</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7</w:t>
            </w:r>
          </w:p>
        </w:tc>
        <w:tc>
          <w:tcPr>
            <w:tcW w:w="525" w:type="pct"/>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加分项</w:t>
            </w:r>
          </w:p>
        </w:tc>
        <w:tc>
          <w:tcPr>
            <w:tcW w:w="3329" w:type="pct"/>
            <w:gridSpan w:val="3"/>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邀请来自江门本地的技术讲师或带领学员到江门市辖区内实训基地学习（5分）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培训方案内容体现台山市农业产业发展特点，设置特色课程（</w:t>
            </w:r>
            <w:r>
              <w:rPr>
                <w:rFonts w:hAnsi="宋体" w:cs="宋体"/>
                <w:kern w:val="0"/>
                <w:sz w:val="22"/>
              </w:rPr>
              <w:t>5</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5000" w:type="pct"/>
            <w:gridSpan w:val="6"/>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注：</w:t>
            </w:r>
            <w:r>
              <w:rPr>
                <w:rFonts w:hAnsi="宋体" w:cs="宋体"/>
                <w:kern w:val="0"/>
                <w:sz w:val="22"/>
              </w:rPr>
              <w:t>1</w:t>
            </w:r>
            <w:r>
              <w:rPr>
                <w:rFonts w:hAnsi="宋体" w:cs="宋体" w:hint="eastAsia"/>
                <w:kern w:val="0"/>
                <w:sz w:val="22"/>
              </w:rPr>
              <w:t>、▲是一票否决项，满足任何一项即失去参加遴选资格。</w:t>
            </w:r>
            <w:r>
              <w:rPr>
                <w:rFonts w:hAnsi="宋体" w:cs="宋体"/>
                <w:kern w:val="0"/>
                <w:sz w:val="22"/>
              </w:rPr>
              <w:t>2</w:t>
            </w:r>
            <w:r>
              <w:rPr>
                <w:rFonts w:hAnsi="宋体" w:cs="宋体" w:hint="eastAsia"/>
                <w:kern w:val="0"/>
                <w:sz w:val="22"/>
              </w:rPr>
              <w:t>、评审结论标准：综合得分低于</w:t>
            </w:r>
            <w:r>
              <w:rPr>
                <w:rFonts w:hAnsi="宋体" w:cs="宋体"/>
                <w:kern w:val="0"/>
                <w:sz w:val="22"/>
              </w:rPr>
              <w:t>60</w:t>
            </w:r>
            <w:r>
              <w:rPr>
                <w:rFonts w:hAnsi="宋体" w:cs="宋体" w:hint="eastAsia"/>
                <w:kern w:val="0"/>
                <w:sz w:val="22"/>
              </w:rPr>
              <w:t>分“不可行”；</w:t>
            </w:r>
            <w:r>
              <w:rPr>
                <w:rFonts w:hAnsi="宋体" w:cs="宋体"/>
                <w:kern w:val="0"/>
                <w:sz w:val="22"/>
              </w:rPr>
              <w:t>61-79</w:t>
            </w:r>
            <w:r>
              <w:rPr>
                <w:rFonts w:hAnsi="宋体" w:cs="宋体" w:hint="eastAsia"/>
                <w:kern w:val="0"/>
                <w:sz w:val="22"/>
              </w:rPr>
              <w:t>分“基本可行“；</w:t>
            </w:r>
            <w:r>
              <w:rPr>
                <w:rFonts w:hAnsi="宋体" w:cs="宋体"/>
                <w:kern w:val="0"/>
                <w:sz w:val="22"/>
              </w:rPr>
              <w:t>80</w:t>
            </w:r>
            <w:r>
              <w:rPr>
                <w:rFonts w:hAnsi="宋体" w:cs="宋体" w:hint="eastAsia"/>
                <w:kern w:val="0"/>
                <w:sz w:val="22"/>
              </w:rPr>
              <w:t>分以上“可行”。</w:t>
            </w:r>
          </w:p>
        </w:tc>
      </w:tr>
      <w:tr w:rsidR="00645ABC" w:rsidTr="00A73737">
        <w:trPr>
          <w:trHeight w:val="567"/>
          <w:jc w:val="center"/>
        </w:trPr>
        <w:tc>
          <w:tcPr>
            <w:tcW w:w="2315" w:type="pct"/>
            <w:gridSpan w:val="4"/>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综合得分</w:t>
            </w:r>
          </w:p>
        </w:tc>
        <w:tc>
          <w:tcPr>
            <w:tcW w:w="2685" w:type="pct"/>
            <w:gridSpan w:val="2"/>
            <w:vAlign w:val="center"/>
          </w:tcPr>
          <w:p w:rsidR="00645ABC" w:rsidRDefault="00645ABC" w:rsidP="00A73737">
            <w:pPr>
              <w:widowControl/>
              <w:suppressAutoHyphens/>
              <w:spacing w:line="240" w:lineRule="exact"/>
              <w:jc w:val="left"/>
              <w:rPr>
                <w:rFonts w:hAnsi="宋体" w:cs="宋体"/>
                <w:b/>
                <w:bCs/>
                <w:kern w:val="0"/>
                <w:sz w:val="22"/>
              </w:rPr>
            </w:pPr>
          </w:p>
        </w:tc>
      </w:tr>
      <w:tr w:rsidR="00645ABC" w:rsidTr="00A73737">
        <w:trPr>
          <w:trHeight w:val="567"/>
          <w:jc w:val="center"/>
        </w:trPr>
        <w:tc>
          <w:tcPr>
            <w:tcW w:w="2315" w:type="pct"/>
            <w:gridSpan w:val="4"/>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评审结论</w:t>
            </w:r>
          </w:p>
        </w:tc>
        <w:tc>
          <w:tcPr>
            <w:tcW w:w="2685" w:type="pct"/>
            <w:gridSpan w:val="2"/>
            <w:vAlign w:val="center"/>
          </w:tcPr>
          <w:p w:rsidR="00645ABC" w:rsidRDefault="00645ABC" w:rsidP="00A73737">
            <w:pPr>
              <w:widowControl/>
              <w:suppressAutoHyphens/>
              <w:spacing w:line="240" w:lineRule="exact"/>
              <w:rPr>
                <w:rFonts w:ascii="Wingdings 2" w:eastAsia="宋体" w:hAnsi="Wingdings 2" w:cs="宋体"/>
                <w:kern w:val="0"/>
                <w:sz w:val="22"/>
              </w:rPr>
            </w:pPr>
            <w:r>
              <w:rPr>
                <w:rFonts w:ascii="Wingdings 2" w:eastAsia="宋体" w:hAnsi="Wingdings 2" w:cs="宋体"/>
                <w:kern w:val="0"/>
                <w:sz w:val="22"/>
              </w:rPr>
              <w:t></w:t>
            </w:r>
            <w:r>
              <w:rPr>
                <w:rFonts w:ascii="宋体" w:eastAsia="宋体" w:hAnsi="宋体" w:cs="宋体" w:hint="eastAsia"/>
                <w:kern w:val="0"/>
                <w:sz w:val="22"/>
              </w:rPr>
              <w:t xml:space="preserve">可行 </w:t>
            </w:r>
            <w:r>
              <w:rPr>
                <w:rFonts w:ascii="宋体" w:eastAsia="宋体" w:hAnsi="宋体" w:cs="宋体"/>
                <w:kern w:val="0"/>
                <w:sz w:val="22"/>
              </w:rPr>
              <w:t xml:space="preserve">     </w:t>
            </w:r>
            <w:r>
              <w:rPr>
                <w:rFonts w:ascii="Wingdings 2" w:eastAsia="宋体" w:hAnsi="Wingdings 2" w:cs="宋体"/>
                <w:kern w:val="0"/>
                <w:sz w:val="22"/>
              </w:rPr>
              <w:t></w:t>
            </w:r>
            <w:r>
              <w:rPr>
                <w:rFonts w:ascii="宋体" w:eastAsia="宋体" w:hAnsi="宋体" w:cs="宋体" w:hint="eastAsia"/>
                <w:kern w:val="0"/>
                <w:sz w:val="22"/>
              </w:rPr>
              <w:t>基本可行</w:t>
            </w:r>
            <w:r>
              <w:rPr>
                <w:rFonts w:ascii="Wingdings 2" w:eastAsia="宋体" w:hAnsi="Wingdings 2" w:cs="宋体"/>
                <w:kern w:val="0"/>
                <w:sz w:val="22"/>
              </w:rPr>
              <w:t></w:t>
            </w:r>
            <w:r>
              <w:rPr>
                <w:rFonts w:ascii="Wingdings 2" w:eastAsia="宋体" w:hAnsi="Wingdings 2" w:cs="宋体"/>
                <w:kern w:val="0"/>
                <w:sz w:val="22"/>
              </w:rPr>
              <w:t></w:t>
            </w:r>
            <w:r>
              <w:rPr>
                <w:rFonts w:ascii="Wingdings 2" w:eastAsia="宋体" w:hAnsi="Wingdings 2" w:cs="宋体"/>
                <w:kern w:val="0"/>
                <w:sz w:val="22"/>
              </w:rPr>
              <w:t></w:t>
            </w:r>
            <w:r>
              <w:rPr>
                <w:rFonts w:ascii="Wingdings 2" w:eastAsia="宋体" w:hAnsi="Wingdings 2" w:cs="宋体"/>
                <w:kern w:val="0"/>
                <w:sz w:val="22"/>
              </w:rPr>
              <w:t></w:t>
            </w:r>
            <w:r>
              <w:rPr>
                <w:rFonts w:ascii="宋体" w:eastAsia="宋体" w:hAnsi="宋体" w:cs="宋体" w:hint="eastAsia"/>
                <w:kern w:val="0"/>
                <w:sz w:val="22"/>
              </w:rPr>
              <w:t>不可行</w:t>
            </w:r>
          </w:p>
        </w:tc>
      </w:tr>
      <w:tr w:rsidR="00645ABC" w:rsidTr="00A73737">
        <w:trPr>
          <w:trHeight w:val="567"/>
          <w:jc w:val="center"/>
        </w:trPr>
        <w:tc>
          <w:tcPr>
            <w:tcW w:w="2315" w:type="pct"/>
            <w:gridSpan w:val="4"/>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专家签名</w:t>
            </w:r>
          </w:p>
        </w:tc>
        <w:tc>
          <w:tcPr>
            <w:tcW w:w="2685" w:type="pct"/>
            <w:gridSpan w:val="2"/>
            <w:vAlign w:val="center"/>
          </w:tcPr>
          <w:p w:rsidR="00645ABC" w:rsidRDefault="00645ABC" w:rsidP="00A73737">
            <w:pPr>
              <w:widowControl/>
              <w:suppressAutoHyphens/>
              <w:spacing w:line="240" w:lineRule="exact"/>
              <w:jc w:val="center"/>
              <w:rPr>
                <w:rFonts w:ascii="宋体" w:eastAsia="宋体" w:hAnsi="Calibri" w:cs="宋体"/>
                <w:kern w:val="0"/>
                <w:sz w:val="22"/>
              </w:rPr>
            </w:pP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 xml:space="preserve">     评审日期：</w:t>
            </w:r>
          </w:p>
        </w:tc>
      </w:tr>
      <w:bookmarkEnd w:id="0"/>
    </w:tbl>
    <w:p w:rsidR="00645ABC" w:rsidRDefault="00645ABC" w:rsidP="00645ABC">
      <w:pPr>
        <w:ind w:right="1264"/>
        <w:jc w:val="right"/>
      </w:pPr>
    </w:p>
    <w:p w:rsidR="00FA06B1" w:rsidRDefault="00FA06B1"/>
    <w:sectPr w:rsidR="00FA06B1">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84" w:rsidRDefault="00AC1784" w:rsidP="00645ABC">
      <w:r>
        <w:separator/>
      </w:r>
    </w:p>
  </w:endnote>
  <w:endnote w:type="continuationSeparator" w:id="0">
    <w:p w:rsidR="00AC1784" w:rsidRDefault="00AC1784" w:rsidP="0064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84" w:rsidRDefault="00AC1784" w:rsidP="00645ABC">
      <w:r>
        <w:separator/>
      </w:r>
    </w:p>
  </w:footnote>
  <w:footnote w:type="continuationSeparator" w:id="0">
    <w:p w:rsidR="00AC1784" w:rsidRDefault="00AC1784" w:rsidP="00645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74"/>
    <w:rsid w:val="00645ABC"/>
    <w:rsid w:val="009D1B5A"/>
    <w:rsid w:val="00A77646"/>
    <w:rsid w:val="00AC1784"/>
    <w:rsid w:val="00E41074"/>
    <w:rsid w:val="00FA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42A22-7DBE-4D49-ABA1-BD920E9F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ABC"/>
    <w:pPr>
      <w:widowControl w:val="0"/>
      <w:jc w:val="both"/>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ABC"/>
    <w:pPr>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a4">
    <w:name w:val="页眉 字符"/>
    <w:basedOn w:val="a0"/>
    <w:link w:val="a3"/>
    <w:uiPriority w:val="99"/>
    <w:rsid w:val="00645ABC"/>
    <w:rPr>
      <w:sz w:val="18"/>
      <w:szCs w:val="18"/>
    </w:rPr>
  </w:style>
  <w:style w:type="paragraph" w:styleId="a5">
    <w:name w:val="footer"/>
    <w:basedOn w:val="a"/>
    <w:link w:val="a6"/>
    <w:uiPriority w:val="99"/>
    <w:unhideWhenUsed/>
    <w:rsid w:val="00645ABC"/>
    <w:pPr>
      <w:tabs>
        <w:tab w:val="center" w:pos="4153"/>
        <w:tab w:val="right" w:pos="8306"/>
      </w:tabs>
      <w:snapToGrid w:val="0"/>
      <w:jc w:val="left"/>
    </w:pPr>
    <w:rPr>
      <w:rFonts w:asciiTheme="minorHAnsi" w:eastAsiaTheme="minorEastAsia"/>
      <w:sz w:val="18"/>
      <w:szCs w:val="18"/>
    </w:rPr>
  </w:style>
  <w:style w:type="character" w:customStyle="1" w:styleId="a6">
    <w:name w:val="页脚 字符"/>
    <w:basedOn w:val="a0"/>
    <w:link w:val="a5"/>
    <w:uiPriority w:val="99"/>
    <w:rsid w:val="00645A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2023-11-24T06:58:00Z</dcterms:created>
  <dcterms:modified xsi:type="dcterms:W3CDTF">2023-11-24T07:00:00Z</dcterms:modified>
</cp:coreProperties>
</file>