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C7C" w:rsidRPr="00E14A76" w:rsidRDefault="00C40C7C" w:rsidP="00C40C7C">
      <w:pPr>
        <w:spacing w:beforeLines="50" w:before="120" w:afterLines="50" w:after="120" w:line="560" w:lineRule="exact"/>
        <w:rPr>
          <w:rFonts w:ascii="黑体" w:eastAsia="黑体" w:hAnsi="黑体"/>
        </w:rPr>
      </w:pPr>
      <w:r w:rsidRPr="00E14A76">
        <w:rPr>
          <w:rFonts w:ascii="黑体" w:eastAsia="黑体" w:hAnsi="黑体" w:hint="eastAsia"/>
        </w:rPr>
        <w:t>附件2</w:t>
      </w:r>
    </w:p>
    <w:p w:rsidR="00C40C7C" w:rsidRPr="00E14A76" w:rsidRDefault="00C40C7C" w:rsidP="00C40C7C">
      <w:pPr>
        <w:spacing w:beforeLines="50" w:before="120" w:afterLines="50" w:after="120" w:line="560" w:lineRule="exact"/>
        <w:jc w:val="center"/>
        <w:rPr>
          <w:rFonts w:ascii="宋体" w:eastAsia="宋体" w:hAnsi="宋体"/>
          <w:b/>
          <w:sz w:val="44"/>
          <w:szCs w:val="44"/>
        </w:rPr>
      </w:pPr>
      <w:r>
        <w:rPr>
          <w:rFonts w:ascii="宋体" w:eastAsia="宋体" w:hAnsi="宋体" w:hint="eastAsia"/>
          <w:b/>
          <w:sz w:val="44"/>
          <w:szCs w:val="44"/>
        </w:rPr>
        <w:t>投标</w:t>
      </w:r>
      <w:r w:rsidRPr="00E14A76">
        <w:rPr>
          <w:rFonts w:ascii="宋体" w:eastAsia="宋体" w:hAnsi="宋体" w:hint="eastAsia"/>
          <w:b/>
          <w:sz w:val="44"/>
          <w:szCs w:val="44"/>
        </w:rPr>
        <w:t>评审细则</w:t>
      </w:r>
    </w:p>
    <w:tbl>
      <w:tblPr>
        <w:tblStyle w:val="a7"/>
        <w:tblW w:w="9209" w:type="dxa"/>
        <w:tblLook w:val="04A0" w:firstRow="1" w:lastRow="0" w:firstColumn="1" w:lastColumn="0" w:noHBand="0" w:noVBand="1"/>
      </w:tblPr>
      <w:tblGrid>
        <w:gridCol w:w="846"/>
        <w:gridCol w:w="1701"/>
        <w:gridCol w:w="1417"/>
        <w:gridCol w:w="5245"/>
      </w:tblGrid>
      <w:tr w:rsidR="00C40C7C" w:rsidRPr="00E14A76" w:rsidTr="00014425">
        <w:tc>
          <w:tcPr>
            <w:tcW w:w="846" w:type="dxa"/>
          </w:tcPr>
          <w:p w:rsidR="00C40C7C" w:rsidRPr="00E14A76" w:rsidRDefault="00C40C7C" w:rsidP="00014425">
            <w:pPr>
              <w:jc w:val="center"/>
              <w:rPr>
                <w:rFonts w:ascii="宋体" w:eastAsia="宋体" w:hAnsi="宋体"/>
                <w:b/>
                <w:sz w:val="24"/>
                <w:szCs w:val="24"/>
              </w:rPr>
            </w:pPr>
            <w:r w:rsidRPr="00E14A76">
              <w:rPr>
                <w:rFonts w:ascii="宋体" w:eastAsia="宋体" w:hAnsi="宋体" w:hint="eastAsia"/>
                <w:b/>
                <w:sz w:val="24"/>
                <w:szCs w:val="24"/>
              </w:rPr>
              <w:t>序号</w:t>
            </w:r>
          </w:p>
        </w:tc>
        <w:tc>
          <w:tcPr>
            <w:tcW w:w="1701" w:type="dxa"/>
          </w:tcPr>
          <w:p w:rsidR="00C40C7C" w:rsidRPr="00E14A76" w:rsidRDefault="00C40C7C" w:rsidP="00014425">
            <w:pPr>
              <w:jc w:val="center"/>
              <w:rPr>
                <w:rFonts w:ascii="宋体" w:eastAsia="宋体" w:hAnsi="宋体"/>
                <w:b/>
                <w:sz w:val="24"/>
                <w:szCs w:val="24"/>
              </w:rPr>
            </w:pPr>
            <w:r w:rsidRPr="00E14A76">
              <w:rPr>
                <w:rFonts w:ascii="宋体" w:eastAsia="宋体" w:hAnsi="宋体" w:hint="eastAsia"/>
                <w:b/>
                <w:sz w:val="24"/>
                <w:szCs w:val="24"/>
              </w:rPr>
              <w:t>内容</w:t>
            </w:r>
          </w:p>
        </w:tc>
        <w:tc>
          <w:tcPr>
            <w:tcW w:w="1417" w:type="dxa"/>
          </w:tcPr>
          <w:p w:rsidR="00C40C7C" w:rsidRPr="00E14A76" w:rsidRDefault="00C40C7C" w:rsidP="00014425">
            <w:pPr>
              <w:jc w:val="center"/>
              <w:rPr>
                <w:rFonts w:ascii="宋体" w:eastAsia="宋体" w:hAnsi="宋体"/>
                <w:b/>
                <w:sz w:val="24"/>
                <w:szCs w:val="24"/>
              </w:rPr>
            </w:pPr>
            <w:r w:rsidRPr="00E14A76">
              <w:rPr>
                <w:rFonts w:ascii="宋体" w:eastAsia="宋体" w:hAnsi="宋体" w:hint="eastAsia"/>
                <w:b/>
                <w:sz w:val="24"/>
                <w:szCs w:val="24"/>
              </w:rPr>
              <w:t>标准分数</w:t>
            </w:r>
          </w:p>
        </w:tc>
        <w:tc>
          <w:tcPr>
            <w:tcW w:w="5245" w:type="dxa"/>
          </w:tcPr>
          <w:p w:rsidR="00C40C7C" w:rsidRPr="00E14A76" w:rsidRDefault="00C40C7C" w:rsidP="00014425">
            <w:pPr>
              <w:jc w:val="center"/>
              <w:rPr>
                <w:rFonts w:ascii="宋体" w:eastAsia="宋体" w:hAnsi="宋体"/>
                <w:b/>
                <w:sz w:val="24"/>
                <w:szCs w:val="24"/>
              </w:rPr>
            </w:pPr>
            <w:r w:rsidRPr="00E14A76">
              <w:rPr>
                <w:rFonts w:ascii="宋体" w:eastAsia="宋体" w:hAnsi="宋体" w:hint="eastAsia"/>
                <w:b/>
                <w:sz w:val="24"/>
                <w:szCs w:val="24"/>
              </w:rPr>
              <w:t>备注</w:t>
            </w:r>
          </w:p>
        </w:tc>
      </w:tr>
      <w:tr w:rsidR="00C40C7C" w:rsidRPr="00E14A76" w:rsidTr="00014425">
        <w:tc>
          <w:tcPr>
            <w:tcW w:w="846" w:type="dxa"/>
            <w:vAlign w:val="center"/>
          </w:tcPr>
          <w:p w:rsidR="00C40C7C" w:rsidRPr="00E14A76" w:rsidRDefault="00C40C7C" w:rsidP="00014425">
            <w:pPr>
              <w:spacing w:line="360" w:lineRule="exact"/>
              <w:jc w:val="center"/>
              <w:rPr>
                <w:rFonts w:ascii="宋体" w:eastAsia="宋体" w:hAnsi="宋体"/>
                <w:sz w:val="24"/>
                <w:szCs w:val="24"/>
              </w:rPr>
            </w:pPr>
            <w:r w:rsidRPr="00E14A76">
              <w:rPr>
                <w:rFonts w:ascii="宋体" w:eastAsia="宋体" w:hAnsi="宋体" w:hint="eastAsia"/>
                <w:sz w:val="24"/>
                <w:szCs w:val="24"/>
              </w:rPr>
              <w:t>1</w:t>
            </w:r>
          </w:p>
        </w:tc>
        <w:tc>
          <w:tcPr>
            <w:tcW w:w="1701" w:type="dxa"/>
            <w:vAlign w:val="center"/>
          </w:tcPr>
          <w:p w:rsidR="00C40C7C" w:rsidRPr="00E14A76" w:rsidRDefault="00C40C7C" w:rsidP="00014425">
            <w:pPr>
              <w:spacing w:line="360" w:lineRule="exact"/>
              <w:jc w:val="center"/>
              <w:rPr>
                <w:rFonts w:ascii="宋体" w:eastAsia="宋体" w:hAnsi="宋体"/>
                <w:sz w:val="24"/>
                <w:szCs w:val="24"/>
              </w:rPr>
            </w:pPr>
            <w:r w:rsidRPr="00E14A76">
              <w:rPr>
                <w:rFonts w:ascii="宋体" w:eastAsia="宋体" w:hAnsi="宋体" w:hint="eastAsia"/>
                <w:sz w:val="24"/>
                <w:szCs w:val="24"/>
              </w:rPr>
              <w:t>经营资质及信用评价</w:t>
            </w:r>
          </w:p>
        </w:tc>
        <w:tc>
          <w:tcPr>
            <w:tcW w:w="1417" w:type="dxa"/>
            <w:vAlign w:val="center"/>
          </w:tcPr>
          <w:p w:rsidR="00C40C7C" w:rsidRPr="00E14A76" w:rsidRDefault="00C40C7C" w:rsidP="00014425">
            <w:pPr>
              <w:spacing w:line="360" w:lineRule="exact"/>
              <w:jc w:val="center"/>
              <w:rPr>
                <w:rFonts w:ascii="宋体" w:eastAsia="宋体" w:hAnsi="宋体"/>
                <w:sz w:val="24"/>
                <w:szCs w:val="24"/>
              </w:rPr>
            </w:pPr>
            <w:r w:rsidRPr="00E14A76">
              <w:rPr>
                <w:rFonts w:ascii="宋体" w:eastAsia="宋体" w:hAnsi="宋体" w:hint="eastAsia"/>
                <w:sz w:val="24"/>
                <w:szCs w:val="24"/>
              </w:rPr>
              <w:t>否决项</w:t>
            </w:r>
          </w:p>
        </w:tc>
        <w:tc>
          <w:tcPr>
            <w:tcW w:w="5245" w:type="dxa"/>
          </w:tcPr>
          <w:p w:rsidR="00C40C7C" w:rsidRPr="00E14A76" w:rsidRDefault="00C40C7C" w:rsidP="00014425">
            <w:pPr>
              <w:spacing w:line="360" w:lineRule="exact"/>
              <w:rPr>
                <w:rFonts w:ascii="宋体" w:eastAsia="宋体" w:hAnsi="宋体"/>
                <w:sz w:val="24"/>
                <w:szCs w:val="24"/>
              </w:rPr>
            </w:pPr>
            <w:r w:rsidRPr="00E14A76">
              <w:rPr>
                <w:rFonts w:ascii="宋体" w:eastAsia="宋体" w:hAnsi="宋体" w:hint="eastAsia"/>
                <w:sz w:val="24"/>
                <w:szCs w:val="24"/>
              </w:rPr>
              <w:t>否决项，符合该项以下情况之一将</w:t>
            </w:r>
            <w:r>
              <w:rPr>
                <w:rFonts w:ascii="宋体" w:eastAsia="宋体" w:hAnsi="宋体" w:hint="eastAsia"/>
                <w:sz w:val="24"/>
                <w:szCs w:val="24"/>
              </w:rPr>
              <w:t>取消</w:t>
            </w:r>
            <w:r w:rsidRPr="00E14A76">
              <w:rPr>
                <w:rFonts w:ascii="宋体" w:eastAsia="宋体" w:hAnsi="宋体" w:hint="eastAsia"/>
                <w:sz w:val="24"/>
                <w:szCs w:val="24"/>
              </w:rPr>
              <w:t>投标资格：</w:t>
            </w:r>
          </w:p>
          <w:p w:rsidR="00C40C7C" w:rsidRPr="00E14A76" w:rsidRDefault="00C40C7C" w:rsidP="00014425">
            <w:pPr>
              <w:spacing w:line="360" w:lineRule="exact"/>
              <w:rPr>
                <w:rFonts w:ascii="宋体" w:eastAsia="宋体" w:hAnsi="宋体"/>
                <w:sz w:val="24"/>
                <w:szCs w:val="24"/>
              </w:rPr>
            </w:pPr>
            <w:r w:rsidRPr="00E14A76">
              <w:rPr>
                <w:rFonts w:ascii="宋体" w:eastAsia="宋体" w:hAnsi="宋体"/>
                <w:sz w:val="24"/>
                <w:szCs w:val="24"/>
              </w:rPr>
              <w:t>1</w:t>
            </w:r>
            <w:r w:rsidRPr="00E14A76">
              <w:rPr>
                <w:rFonts w:ascii="宋体" w:eastAsia="宋体" w:hAnsi="宋体" w:hint="eastAsia"/>
                <w:sz w:val="24"/>
                <w:szCs w:val="24"/>
              </w:rPr>
              <w:t>.投标人不符合《政府采购法》第二十二条之规定；</w:t>
            </w:r>
          </w:p>
          <w:p w:rsidR="00C40C7C" w:rsidRDefault="00C40C7C" w:rsidP="00014425">
            <w:pPr>
              <w:spacing w:line="360" w:lineRule="exact"/>
              <w:rPr>
                <w:rFonts w:ascii="宋体" w:eastAsia="宋体" w:hAnsi="宋体"/>
                <w:sz w:val="24"/>
                <w:szCs w:val="24"/>
              </w:rPr>
            </w:pPr>
            <w:r w:rsidRPr="00E14A76">
              <w:rPr>
                <w:rFonts w:ascii="宋体" w:eastAsia="宋体" w:hAnsi="宋体" w:hint="eastAsia"/>
                <w:sz w:val="24"/>
                <w:szCs w:val="24"/>
              </w:rPr>
              <w:t>2.</w:t>
            </w:r>
            <w:r w:rsidRPr="00E14A76">
              <w:rPr>
                <w:rFonts w:ascii="宋体" w:eastAsia="宋体" w:hAnsi="宋体" w:hint="eastAsia"/>
                <w:sz w:val="24"/>
              </w:rPr>
              <w:t>不</w:t>
            </w:r>
            <w:r w:rsidRPr="00E14A76">
              <w:rPr>
                <w:rFonts w:ascii="宋体" w:eastAsia="宋体" w:hAnsi="宋体" w:hint="eastAsia"/>
                <w:sz w:val="24"/>
                <w:szCs w:val="24"/>
              </w:rPr>
              <w:t>具有独立法人资格，业务范围与本采购项目不符；</w:t>
            </w:r>
          </w:p>
          <w:p w:rsidR="00C40C7C" w:rsidRPr="00E14A76" w:rsidRDefault="00C40C7C" w:rsidP="00014425">
            <w:pPr>
              <w:spacing w:line="360" w:lineRule="exact"/>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.投标人非法定代表人或无法提供法定代表人授权书；</w:t>
            </w:r>
          </w:p>
          <w:p w:rsidR="00C40C7C" w:rsidRDefault="00C40C7C" w:rsidP="00014425">
            <w:pPr>
              <w:spacing w:line="360" w:lineRule="exact"/>
              <w:rPr>
                <w:rFonts w:ascii="宋体" w:eastAsia="宋体" w:hAnsi="宋体"/>
                <w:sz w:val="24"/>
                <w:szCs w:val="24"/>
              </w:rPr>
            </w:pPr>
            <w:r>
              <w:rPr>
                <w:rFonts w:ascii="宋体" w:eastAsia="宋体" w:hAnsi="宋体"/>
                <w:sz w:val="24"/>
                <w:szCs w:val="24"/>
              </w:rPr>
              <w:t>4</w:t>
            </w:r>
            <w:r w:rsidRPr="00E14A76">
              <w:rPr>
                <w:rFonts w:ascii="宋体" w:eastAsia="宋体" w:hAnsi="宋体" w:hint="eastAsia"/>
                <w:sz w:val="24"/>
                <w:szCs w:val="24"/>
              </w:rPr>
              <w:t>.投标人被列入失信被执行人和重大税收违法案件当事人名单</w:t>
            </w:r>
            <w:r>
              <w:rPr>
                <w:rFonts w:ascii="宋体" w:eastAsia="宋体" w:hAnsi="宋体" w:hint="eastAsia"/>
                <w:sz w:val="24"/>
                <w:szCs w:val="24"/>
              </w:rPr>
              <w:t>；</w:t>
            </w:r>
          </w:p>
          <w:p w:rsidR="00C40C7C" w:rsidRPr="00E14A76" w:rsidRDefault="00C40C7C" w:rsidP="00014425">
            <w:pPr>
              <w:spacing w:line="360" w:lineRule="exact"/>
              <w:rPr>
                <w:rFonts w:ascii="宋体" w:eastAsia="宋体" w:hAnsi="宋体"/>
                <w:sz w:val="24"/>
                <w:szCs w:val="24"/>
              </w:rPr>
            </w:pPr>
            <w:r>
              <w:rPr>
                <w:rFonts w:ascii="宋体" w:eastAsia="宋体" w:hAnsi="宋体" w:hint="eastAsia"/>
                <w:sz w:val="24"/>
                <w:szCs w:val="24"/>
              </w:rPr>
              <w:t>5.以联合体的形式投标。</w:t>
            </w:r>
          </w:p>
        </w:tc>
      </w:tr>
      <w:tr w:rsidR="00C40C7C" w:rsidRPr="00E14A76" w:rsidTr="00014425">
        <w:tc>
          <w:tcPr>
            <w:tcW w:w="846" w:type="dxa"/>
            <w:vAlign w:val="center"/>
          </w:tcPr>
          <w:p w:rsidR="00C40C7C" w:rsidRPr="00E14A76" w:rsidRDefault="00C40C7C" w:rsidP="00014425">
            <w:pPr>
              <w:spacing w:line="360" w:lineRule="exact"/>
              <w:jc w:val="center"/>
              <w:rPr>
                <w:rFonts w:ascii="宋体" w:eastAsia="宋体" w:hAnsi="宋体"/>
                <w:sz w:val="24"/>
                <w:szCs w:val="24"/>
              </w:rPr>
            </w:pPr>
            <w:r w:rsidRPr="00E14A76">
              <w:rPr>
                <w:rFonts w:ascii="宋体" w:eastAsia="宋体" w:hAnsi="宋体" w:hint="eastAsia"/>
                <w:sz w:val="24"/>
                <w:szCs w:val="24"/>
              </w:rPr>
              <w:t>2</w:t>
            </w:r>
          </w:p>
        </w:tc>
        <w:tc>
          <w:tcPr>
            <w:tcW w:w="1701" w:type="dxa"/>
            <w:vAlign w:val="center"/>
          </w:tcPr>
          <w:p w:rsidR="00C40C7C" w:rsidRPr="00E14A76" w:rsidRDefault="00C40C7C" w:rsidP="00014425">
            <w:pPr>
              <w:spacing w:line="360" w:lineRule="exact"/>
              <w:jc w:val="center"/>
              <w:rPr>
                <w:rFonts w:ascii="宋体" w:eastAsia="宋体" w:hAnsi="宋体"/>
                <w:sz w:val="24"/>
                <w:szCs w:val="24"/>
              </w:rPr>
            </w:pPr>
            <w:r w:rsidRPr="00E14A76">
              <w:rPr>
                <w:rFonts w:ascii="宋体" w:eastAsia="宋体" w:hAnsi="宋体" w:hint="eastAsia"/>
                <w:sz w:val="24"/>
                <w:szCs w:val="24"/>
              </w:rPr>
              <w:t>投标报价</w:t>
            </w:r>
          </w:p>
        </w:tc>
        <w:tc>
          <w:tcPr>
            <w:tcW w:w="1417" w:type="dxa"/>
            <w:vAlign w:val="center"/>
          </w:tcPr>
          <w:p w:rsidR="00C40C7C" w:rsidRPr="00E14A76" w:rsidRDefault="00C40C7C" w:rsidP="00014425">
            <w:pPr>
              <w:spacing w:line="360" w:lineRule="exact"/>
              <w:jc w:val="center"/>
              <w:rPr>
                <w:rFonts w:ascii="宋体" w:eastAsia="宋体" w:hAnsi="宋体"/>
                <w:sz w:val="24"/>
                <w:szCs w:val="24"/>
              </w:rPr>
            </w:pPr>
            <w:r>
              <w:rPr>
                <w:rFonts w:ascii="宋体" w:eastAsia="宋体" w:hAnsi="宋体" w:hint="eastAsia"/>
                <w:sz w:val="24"/>
                <w:szCs w:val="24"/>
              </w:rPr>
              <w:t>1</w:t>
            </w:r>
            <w:r w:rsidRPr="00E14A76">
              <w:rPr>
                <w:rFonts w:ascii="宋体" w:eastAsia="宋体" w:hAnsi="宋体" w:hint="eastAsia"/>
                <w:sz w:val="24"/>
                <w:szCs w:val="24"/>
              </w:rPr>
              <w:t>0</w:t>
            </w:r>
          </w:p>
        </w:tc>
        <w:tc>
          <w:tcPr>
            <w:tcW w:w="5245" w:type="dxa"/>
          </w:tcPr>
          <w:p w:rsidR="00C40C7C" w:rsidRPr="00E14A76" w:rsidRDefault="00C40C7C" w:rsidP="00014425">
            <w:pPr>
              <w:spacing w:line="360" w:lineRule="exact"/>
              <w:rPr>
                <w:rFonts w:ascii="宋体" w:eastAsia="宋体" w:hAnsi="宋体"/>
                <w:sz w:val="24"/>
                <w:szCs w:val="24"/>
              </w:rPr>
            </w:pPr>
            <w:r>
              <w:rPr>
                <w:rFonts w:ascii="宋体" w:eastAsia="宋体" w:hAnsi="宋体" w:hint="eastAsia"/>
                <w:sz w:val="24"/>
                <w:szCs w:val="24"/>
              </w:rPr>
              <w:t>投标报价基准分满分</w:t>
            </w:r>
            <w:r>
              <w:rPr>
                <w:rFonts w:ascii="宋体" w:eastAsia="宋体" w:hAnsi="宋体"/>
                <w:sz w:val="24"/>
                <w:szCs w:val="24"/>
              </w:rPr>
              <w:t>1</w:t>
            </w:r>
            <w:r w:rsidRPr="00E14A76">
              <w:rPr>
                <w:rFonts w:ascii="宋体" w:eastAsia="宋体" w:hAnsi="宋体"/>
                <w:sz w:val="24"/>
                <w:szCs w:val="24"/>
              </w:rPr>
              <w:t>0分</w:t>
            </w:r>
            <w:r>
              <w:rPr>
                <w:rFonts w:ascii="宋体" w:eastAsia="宋体" w:hAnsi="宋体" w:hint="eastAsia"/>
                <w:sz w:val="24"/>
                <w:szCs w:val="24"/>
              </w:rPr>
              <w:t>。</w:t>
            </w:r>
          </w:p>
          <w:p w:rsidR="00C40C7C" w:rsidRDefault="00C40C7C" w:rsidP="00014425">
            <w:pPr>
              <w:spacing w:line="360" w:lineRule="exact"/>
              <w:rPr>
                <w:rFonts w:ascii="宋体" w:eastAsia="宋体" w:hAnsi="宋体"/>
                <w:sz w:val="24"/>
                <w:szCs w:val="24"/>
              </w:rPr>
            </w:pPr>
            <w:r>
              <w:rPr>
                <w:rFonts w:ascii="宋体" w:eastAsia="宋体" w:hAnsi="宋体" w:hint="eastAsia"/>
                <w:sz w:val="24"/>
                <w:szCs w:val="24"/>
              </w:rPr>
              <w:t>（1）</w:t>
            </w:r>
            <w:r w:rsidRPr="00E14A76">
              <w:rPr>
                <w:rFonts w:ascii="宋体" w:eastAsia="宋体" w:hAnsi="宋体" w:hint="eastAsia"/>
                <w:sz w:val="24"/>
                <w:szCs w:val="24"/>
              </w:rPr>
              <w:t>满足招标文件要求且价格最低的投标报价为评标基准价，其价格分为满分</w:t>
            </w:r>
            <w:r>
              <w:rPr>
                <w:rFonts w:ascii="宋体" w:eastAsia="宋体" w:hAnsi="宋体"/>
                <w:sz w:val="24"/>
                <w:szCs w:val="24"/>
              </w:rPr>
              <w:t>1</w:t>
            </w:r>
            <w:r w:rsidRPr="00E14A76">
              <w:rPr>
                <w:rFonts w:ascii="宋体" w:eastAsia="宋体" w:hAnsi="宋体"/>
                <w:sz w:val="24"/>
                <w:szCs w:val="24"/>
              </w:rPr>
              <w:t>0分。</w:t>
            </w:r>
          </w:p>
          <w:p w:rsidR="00C40C7C" w:rsidRPr="00E14A76" w:rsidRDefault="00C40C7C" w:rsidP="00014425">
            <w:pPr>
              <w:spacing w:line="360" w:lineRule="exact"/>
              <w:rPr>
                <w:rFonts w:ascii="宋体" w:eastAsia="宋体" w:hAnsi="宋体"/>
                <w:sz w:val="24"/>
                <w:szCs w:val="24"/>
              </w:rPr>
            </w:pPr>
            <w:r>
              <w:rPr>
                <w:rFonts w:ascii="宋体" w:eastAsia="宋体" w:hAnsi="宋体" w:hint="eastAsia"/>
                <w:sz w:val="24"/>
                <w:szCs w:val="24"/>
              </w:rPr>
              <w:t>（2）其他投标单位</w:t>
            </w:r>
            <w:r w:rsidRPr="004E0834">
              <w:rPr>
                <w:rFonts w:ascii="宋体" w:eastAsia="宋体" w:hAnsi="宋体" w:hint="eastAsia"/>
                <w:sz w:val="24"/>
                <w:szCs w:val="24"/>
              </w:rPr>
              <w:t>按照</w:t>
            </w:r>
            <w:r>
              <w:rPr>
                <w:rFonts w:ascii="宋体" w:eastAsia="宋体" w:hAnsi="宋体" w:hint="eastAsia"/>
                <w:sz w:val="24"/>
                <w:szCs w:val="24"/>
              </w:rPr>
              <w:t>报价由低到高排名，</w:t>
            </w:r>
            <w:r w:rsidRPr="004E0834">
              <w:rPr>
                <w:rFonts w:ascii="宋体" w:eastAsia="宋体" w:hAnsi="宋体" w:hint="eastAsia"/>
                <w:sz w:val="24"/>
                <w:szCs w:val="24"/>
              </w:rPr>
              <w:t>名次依次降低</w:t>
            </w:r>
            <w:r w:rsidRPr="004E0834">
              <w:rPr>
                <w:rFonts w:ascii="宋体" w:eastAsia="宋体" w:hAnsi="宋体"/>
                <w:sz w:val="24"/>
                <w:szCs w:val="24"/>
              </w:rPr>
              <w:t>2分，如第二名得8分，第三名得6分。以此类推。</w:t>
            </w:r>
          </w:p>
        </w:tc>
      </w:tr>
      <w:tr w:rsidR="00C40C7C" w:rsidRPr="00E14A76" w:rsidTr="00014425">
        <w:tc>
          <w:tcPr>
            <w:tcW w:w="846" w:type="dxa"/>
            <w:vAlign w:val="center"/>
          </w:tcPr>
          <w:p w:rsidR="00C40C7C" w:rsidRPr="00E14A76" w:rsidRDefault="00C40C7C" w:rsidP="00014425">
            <w:pPr>
              <w:spacing w:line="360" w:lineRule="exact"/>
              <w:jc w:val="center"/>
              <w:rPr>
                <w:rFonts w:ascii="宋体" w:eastAsia="宋体" w:hAnsi="宋体"/>
                <w:sz w:val="24"/>
                <w:szCs w:val="24"/>
              </w:rPr>
            </w:pPr>
            <w:r>
              <w:rPr>
                <w:rFonts w:ascii="宋体" w:eastAsia="宋体" w:hAnsi="宋体" w:hint="eastAsia"/>
                <w:sz w:val="24"/>
                <w:szCs w:val="24"/>
              </w:rPr>
              <w:t>3</w:t>
            </w:r>
          </w:p>
        </w:tc>
        <w:tc>
          <w:tcPr>
            <w:tcW w:w="1701" w:type="dxa"/>
            <w:vAlign w:val="center"/>
          </w:tcPr>
          <w:p w:rsidR="00C40C7C" w:rsidRPr="00E14A76" w:rsidRDefault="00C40C7C" w:rsidP="00014425">
            <w:pPr>
              <w:spacing w:line="360" w:lineRule="exact"/>
              <w:jc w:val="center"/>
              <w:rPr>
                <w:rFonts w:ascii="宋体" w:eastAsia="宋体" w:hAnsi="宋体"/>
                <w:sz w:val="24"/>
                <w:szCs w:val="24"/>
              </w:rPr>
            </w:pPr>
            <w:r>
              <w:rPr>
                <w:rFonts w:ascii="宋体" w:eastAsia="宋体" w:hAnsi="宋体" w:hint="eastAsia"/>
                <w:sz w:val="24"/>
                <w:szCs w:val="24"/>
              </w:rPr>
              <w:t>项目实施方案</w:t>
            </w:r>
          </w:p>
        </w:tc>
        <w:tc>
          <w:tcPr>
            <w:tcW w:w="1417" w:type="dxa"/>
            <w:vAlign w:val="center"/>
          </w:tcPr>
          <w:p w:rsidR="00C40C7C" w:rsidRDefault="00C40C7C" w:rsidP="00014425">
            <w:pPr>
              <w:spacing w:line="360" w:lineRule="exact"/>
              <w:jc w:val="center"/>
              <w:rPr>
                <w:rFonts w:ascii="宋体" w:eastAsia="宋体" w:hAnsi="宋体"/>
                <w:sz w:val="24"/>
                <w:szCs w:val="24"/>
              </w:rPr>
            </w:pPr>
            <w:r>
              <w:rPr>
                <w:rFonts w:ascii="宋体" w:eastAsia="宋体" w:hAnsi="宋体" w:hint="eastAsia"/>
                <w:sz w:val="24"/>
                <w:szCs w:val="24"/>
              </w:rPr>
              <w:t>15</w:t>
            </w:r>
          </w:p>
        </w:tc>
        <w:tc>
          <w:tcPr>
            <w:tcW w:w="5245" w:type="dxa"/>
          </w:tcPr>
          <w:p w:rsidR="00C40C7C" w:rsidRDefault="00C40C7C" w:rsidP="00014425">
            <w:pPr>
              <w:spacing w:line="360" w:lineRule="exact"/>
              <w:rPr>
                <w:rFonts w:ascii="宋体" w:eastAsia="宋体" w:hAnsi="宋体"/>
                <w:sz w:val="24"/>
                <w:szCs w:val="24"/>
              </w:rPr>
            </w:pPr>
            <w:r w:rsidRPr="00642182">
              <w:rPr>
                <w:rFonts w:ascii="宋体" w:eastAsia="宋体" w:hAnsi="宋体" w:hint="eastAsia"/>
                <w:sz w:val="24"/>
                <w:szCs w:val="24"/>
              </w:rPr>
              <w:t>根据投标人提供的项目实施方案进行比较，包括实施方案合理性，</w:t>
            </w:r>
            <w:r>
              <w:rPr>
                <w:rFonts w:ascii="宋体" w:eastAsia="宋体" w:hAnsi="宋体" w:hint="eastAsia"/>
                <w:sz w:val="24"/>
                <w:szCs w:val="24"/>
              </w:rPr>
              <w:t>可操作性以及对本项目的理解把握程度和整体思路等内容进行综合评审。</w:t>
            </w:r>
          </w:p>
          <w:p w:rsidR="00C40C7C" w:rsidRDefault="00C40C7C" w:rsidP="00014425">
            <w:pPr>
              <w:spacing w:line="360" w:lineRule="exact"/>
              <w:rPr>
                <w:rFonts w:ascii="宋体" w:eastAsia="宋体" w:hAnsi="宋体"/>
                <w:sz w:val="24"/>
                <w:szCs w:val="24"/>
              </w:rPr>
            </w:pPr>
            <w:r>
              <w:rPr>
                <w:rFonts w:ascii="宋体" w:eastAsia="宋体" w:hAnsi="宋体" w:hint="eastAsia"/>
                <w:sz w:val="24"/>
                <w:szCs w:val="24"/>
              </w:rPr>
              <w:t>（1）</w:t>
            </w:r>
            <w:r w:rsidRPr="00642182">
              <w:rPr>
                <w:rFonts w:ascii="宋体" w:eastAsia="宋体" w:hAnsi="宋体"/>
                <w:sz w:val="24"/>
                <w:szCs w:val="24"/>
              </w:rPr>
              <w:t>对</w:t>
            </w:r>
            <w:r>
              <w:rPr>
                <w:rFonts w:ascii="宋体" w:eastAsia="宋体" w:hAnsi="宋体"/>
                <w:sz w:val="24"/>
                <w:szCs w:val="24"/>
              </w:rPr>
              <w:t>项目理解比较深刻，实施方案合理、可操作性强，完全满足项目要求，</w:t>
            </w:r>
            <w:r>
              <w:rPr>
                <w:rFonts w:ascii="宋体" w:eastAsia="宋体" w:hAnsi="宋体" w:hint="eastAsia"/>
                <w:sz w:val="24"/>
                <w:szCs w:val="24"/>
              </w:rPr>
              <w:t>在</w:t>
            </w:r>
            <w:r>
              <w:rPr>
                <w:rFonts w:ascii="宋体" w:eastAsia="宋体" w:hAnsi="宋体"/>
                <w:sz w:val="24"/>
                <w:szCs w:val="24"/>
              </w:rPr>
              <w:t>10-15</w:t>
            </w:r>
            <w:r w:rsidRPr="00642182">
              <w:rPr>
                <w:rFonts w:ascii="宋体" w:eastAsia="宋体" w:hAnsi="宋体"/>
                <w:sz w:val="24"/>
                <w:szCs w:val="24"/>
              </w:rPr>
              <w:t>分</w:t>
            </w:r>
            <w:r>
              <w:rPr>
                <w:rFonts w:ascii="宋体" w:eastAsia="宋体" w:hAnsi="宋体" w:hint="eastAsia"/>
                <w:sz w:val="24"/>
                <w:szCs w:val="24"/>
              </w:rPr>
              <w:t>区间打分</w:t>
            </w:r>
            <w:r w:rsidRPr="00642182">
              <w:rPr>
                <w:rFonts w:ascii="宋体" w:eastAsia="宋体" w:hAnsi="宋体"/>
                <w:sz w:val="24"/>
                <w:szCs w:val="24"/>
              </w:rPr>
              <w:t>；</w:t>
            </w:r>
          </w:p>
          <w:p w:rsidR="00C40C7C" w:rsidRDefault="00C40C7C" w:rsidP="00014425">
            <w:pPr>
              <w:spacing w:line="360" w:lineRule="exact"/>
              <w:rPr>
                <w:rFonts w:ascii="宋体" w:eastAsia="宋体" w:hAnsi="宋体"/>
                <w:sz w:val="24"/>
                <w:szCs w:val="24"/>
              </w:rPr>
            </w:pPr>
            <w:r>
              <w:rPr>
                <w:rFonts w:ascii="宋体" w:eastAsia="宋体" w:hAnsi="宋体" w:hint="eastAsia"/>
                <w:sz w:val="24"/>
                <w:szCs w:val="24"/>
              </w:rPr>
              <w:t>（2）</w:t>
            </w:r>
            <w:r w:rsidRPr="00642182">
              <w:rPr>
                <w:rFonts w:ascii="宋体" w:eastAsia="宋体" w:hAnsi="宋体"/>
                <w:sz w:val="24"/>
                <w:szCs w:val="24"/>
              </w:rPr>
              <w:t>对</w:t>
            </w:r>
            <w:r>
              <w:rPr>
                <w:rFonts w:ascii="宋体" w:eastAsia="宋体" w:hAnsi="宋体"/>
                <w:sz w:val="24"/>
                <w:szCs w:val="24"/>
              </w:rPr>
              <w:t>项目理解一般，实施方案较合理、可操作性较强，基本满足项目要求，</w:t>
            </w:r>
            <w:r>
              <w:rPr>
                <w:rFonts w:ascii="宋体" w:eastAsia="宋体" w:hAnsi="宋体" w:hint="eastAsia"/>
                <w:sz w:val="24"/>
                <w:szCs w:val="24"/>
              </w:rPr>
              <w:t>在</w:t>
            </w:r>
            <w:r>
              <w:rPr>
                <w:rFonts w:ascii="宋体" w:eastAsia="宋体" w:hAnsi="宋体"/>
                <w:sz w:val="24"/>
                <w:szCs w:val="24"/>
              </w:rPr>
              <w:t>5-10</w:t>
            </w:r>
            <w:r w:rsidRPr="00642182">
              <w:rPr>
                <w:rFonts w:ascii="宋体" w:eastAsia="宋体" w:hAnsi="宋体"/>
                <w:sz w:val="24"/>
                <w:szCs w:val="24"/>
              </w:rPr>
              <w:t>分</w:t>
            </w:r>
            <w:r>
              <w:rPr>
                <w:rFonts w:ascii="宋体" w:eastAsia="宋体" w:hAnsi="宋体" w:hint="eastAsia"/>
                <w:sz w:val="24"/>
                <w:szCs w:val="24"/>
              </w:rPr>
              <w:t>区间打分</w:t>
            </w:r>
            <w:r w:rsidRPr="00642182">
              <w:rPr>
                <w:rFonts w:ascii="宋体" w:eastAsia="宋体" w:hAnsi="宋体"/>
                <w:sz w:val="24"/>
                <w:szCs w:val="24"/>
              </w:rPr>
              <w:t>；</w:t>
            </w:r>
          </w:p>
          <w:p w:rsidR="00C40C7C" w:rsidRPr="00E14A76" w:rsidRDefault="00C40C7C" w:rsidP="00014425">
            <w:pPr>
              <w:spacing w:line="360" w:lineRule="exact"/>
              <w:rPr>
                <w:rFonts w:ascii="宋体" w:eastAsia="宋体" w:hAnsi="宋体"/>
                <w:sz w:val="24"/>
                <w:szCs w:val="24"/>
              </w:rPr>
            </w:pPr>
            <w:r>
              <w:rPr>
                <w:rFonts w:ascii="宋体" w:eastAsia="宋体" w:hAnsi="宋体" w:hint="eastAsia"/>
                <w:sz w:val="24"/>
                <w:szCs w:val="24"/>
              </w:rPr>
              <w:t>（3）</w:t>
            </w:r>
            <w:r w:rsidRPr="00642182">
              <w:rPr>
                <w:rFonts w:ascii="宋体" w:eastAsia="宋体" w:hAnsi="宋体"/>
                <w:sz w:val="24"/>
                <w:szCs w:val="24"/>
              </w:rPr>
              <w:t>对项目理解较差，实施方案一般、可操作性一般，较不能满足项目要求，</w:t>
            </w:r>
            <w:r>
              <w:rPr>
                <w:rFonts w:ascii="宋体" w:eastAsia="宋体" w:hAnsi="宋体" w:hint="eastAsia"/>
                <w:sz w:val="24"/>
                <w:szCs w:val="24"/>
              </w:rPr>
              <w:t>在0-5分区间得分</w:t>
            </w:r>
            <w:r w:rsidRPr="00642182">
              <w:rPr>
                <w:rFonts w:ascii="宋体" w:eastAsia="宋体" w:hAnsi="宋体"/>
                <w:sz w:val="24"/>
                <w:szCs w:val="24"/>
              </w:rPr>
              <w:t>。</w:t>
            </w:r>
          </w:p>
        </w:tc>
      </w:tr>
      <w:tr w:rsidR="00C40C7C" w:rsidRPr="00E14A76" w:rsidTr="00014425">
        <w:tc>
          <w:tcPr>
            <w:tcW w:w="846" w:type="dxa"/>
            <w:vAlign w:val="center"/>
          </w:tcPr>
          <w:p w:rsidR="00C40C7C" w:rsidRPr="00E14A76" w:rsidRDefault="00C40C7C" w:rsidP="00014425">
            <w:pPr>
              <w:spacing w:line="360" w:lineRule="exact"/>
              <w:jc w:val="center"/>
              <w:rPr>
                <w:rFonts w:ascii="宋体" w:eastAsia="宋体" w:hAnsi="宋体"/>
                <w:sz w:val="24"/>
                <w:szCs w:val="24"/>
              </w:rPr>
            </w:pPr>
            <w:r>
              <w:rPr>
                <w:rFonts w:ascii="宋体" w:eastAsia="宋体" w:hAnsi="宋体" w:hint="eastAsia"/>
                <w:sz w:val="24"/>
                <w:szCs w:val="24"/>
              </w:rPr>
              <w:t>4</w:t>
            </w:r>
          </w:p>
        </w:tc>
        <w:tc>
          <w:tcPr>
            <w:tcW w:w="1701" w:type="dxa"/>
            <w:vAlign w:val="center"/>
          </w:tcPr>
          <w:p w:rsidR="00C40C7C" w:rsidRPr="00E14A76" w:rsidRDefault="00C40C7C" w:rsidP="00014425">
            <w:pPr>
              <w:spacing w:line="360" w:lineRule="exact"/>
              <w:jc w:val="center"/>
              <w:rPr>
                <w:rFonts w:ascii="宋体" w:eastAsia="宋体" w:hAnsi="宋体"/>
                <w:sz w:val="24"/>
                <w:szCs w:val="24"/>
              </w:rPr>
            </w:pPr>
            <w:r w:rsidRPr="00E14A76">
              <w:rPr>
                <w:rFonts w:ascii="宋体" w:eastAsia="宋体" w:hAnsi="宋体" w:hint="eastAsia"/>
                <w:sz w:val="24"/>
                <w:szCs w:val="24"/>
              </w:rPr>
              <w:t>服务内容准确</w:t>
            </w:r>
          </w:p>
        </w:tc>
        <w:tc>
          <w:tcPr>
            <w:tcW w:w="1417" w:type="dxa"/>
            <w:vAlign w:val="center"/>
          </w:tcPr>
          <w:p w:rsidR="00C40C7C" w:rsidRPr="00E14A76" w:rsidRDefault="00C40C7C" w:rsidP="00014425">
            <w:pPr>
              <w:spacing w:line="360" w:lineRule="exact"/>
              <w:jc w:val="center"/>
              <w:rPr>
                <w:rFonts w:ascii="宋体" w:eastAsia="宋体" w:hAnsi="宋体"/>
                <w:sz w:val="24"/>
                <w:szCs w:val="24"/>
              </w:rPr>
            </w:pPr>
            <w:r>
              <w:rPr>
                <w:rFonts w:ascii="宋体" w:eastAsia="宋体" w:hAnsi="宋体" w:hint="eastAsia"/>
                <w:sz w:val="24"/>
                <w:szCs w:val="24"/>
              </w:rPr>
              <w:t>20</w:t>
            </w:r>
          </w:p>
        </w:tc>
        <w:tc>
          <w:tcPr>
            <w:tcW w:w="5245" w:type="dxa"/>
          </w:tcPr>
          <w:p w:rsidR="00C40C7C" w:rsidRDefault="00C40C7C" w:rsidP="00014425">
            <w:pPr>
              <w:spacing w:line="360" w:lineRule="exact"/>
              <w:rPr>
                <w:rFonts w:ascii="宋体" w:eastAsia="宋体" w:hAnsi="宋体"/>
                <w:sz w:val="24"/>
                <w:szCs w:val="24"/>
              </w:rPr>
            </w:pPr>
            <w:r w:rsidRPr="00E14A76">
              <w:rPr>
                <w:rFonts w:ascii="宋体" w:eastAsia="宋体" w:hAnsi="宋体" w:hint="eastAsia"/>
                <w:sz w:val="24"/>
                <w:szCs w:val="24"/>
              </w:rPr>
              <w:t>根据项目服务内容以及采购的设备参数，根据投标单位</w:t>
            </w:r>
            <w:r>
              <w:rPr>
                <w:rFonts w:ascii="宋体" w:eastAsia="宋体" w:hAnsi="宋体" w:hint="eastAsia"/>
                <w:sz w:val="24"/>
                <w:szCs w:val="24"/>
              </w:rPr>
              <w:t>投标文件中关于服务内容和设备参数的</w:t>
            </w:r>
            <w:r>
              <w:rPr>
                <w:rFonts w:ascii="宋体" w:eastAsia="宋体" w:hAnsi="宋体" w:hint="eastAsia"/>
                <w:sz w:val="24"/>
                <w:szCs w:val="24"/>
              </w:rPr>
              <w:lastRenderedPageBreak/>
              <w:t>描述，由评委逐项针对开展打分。</w:t>
            </w:r>
          </w:p>
          <w:p w:rsidR="00C40C7C" w:rsidRDefault="00C40C7C" w:rsidP="00014425">
            <w:pPr>
              <w:spacing w:line="360" w:lineRule="exact"/>
              <w:rPr>
                <w:rFonts w:ascii="宋体" w:eastAsia="宋体" w:hAnsi="宋体"/>
                <w:sz w:val="24"/>
                <w:szCs w:val="24"/>
              </w:rPr>
            </w:pPr>
            <w:r>
              <w:rPr>
                <w:rFonts w:ascii="宋体" w:eastAsia="宋体" w:hAnsi="宋体" w:hint="eastAsia"/>
                <w:sz w:val="24"/>
                <w:szCs w:val="24"/>
              </w:rPr>
              <w:t>（1）</w:t>
            </w:r>
            <w:r w:rsidRPr="00E14A76">
              <w:rPr>
                <w:rFonts w:ascii="宋体" w:eastAsia="宋体" w:hAnsi="宋体" w:hint="eastAsia"/>
                <w:sz w:val="24"/>
                <w:szCs w:val="24"/>
              </w:rPr>
              <w:t>服务内容和设备参数符合项目招标要求的，根据投标文件描述内容合理性、可执行性打分；</w:t>
            </w:r>
          </w:p>
          <w:p w:rsidR="00C40C7C" w:rsidRPr="00E14A76" w:rsidRDefault="00C40C7C" w:rsidP="00014425">
            <w:pPr>
              <w:spacing w:line="360" w:lineRule="exact"/>
              <w:rPr>
                <w:rFonts w:ascii="宋体" w:eastAsia="宋体" w:hAnsi="宋体"/>
                <w:sz w:val="24"/>
                <w:szCs w:val="24"/>
              </w:rPr>
            </w:pPr>
            <w:r>
              <w:rPr>
                <w:rFonts w:ascii="宋体" w:eastAsia="宋体" w:hAnsi="宋体" w:hint="eastAsia"/>
                <w:sz w:val="24"/>
                <w:szCs w:val="24"/>
              </w:rPr>
              <w:t>（2）</w:t>
            </w:r>
            <w:r w:rsidRPr="00E14A76">
              <w:rPr>
                <w:rFonts w:ascii="宋体" w:eastAsia="宋体" w:hAnsi="宋体" w:hint="eastAsia"/>
                <w:sz w:val="24"/>
                <w:szCs w:val="24"/>
              </w:rPr>
              <w:t>服务内容和设备参数不符的，该项得0分。</w:t>
            </w:r>
          </w:p>
        </w:tc>
      </w:tr>
      <w:tr w:rsidR="00C40C7C" w:rsidRPr="00E14A76" w:rsidTr="00014425">
        <w:tc>
          <w:tcPr>
            <w:tcW w:w="846" w:type="dxa"/>
            <w:vAlign w:val="center"/>
          </w:tcPr>
          <w:p w:rsidR="00C40C7C" w:rsidRPr="00E14A76" w:rsidRDefault="00C40C7C" w:rsidP="00014425">
            <w:pPr>
              <w:spacing w:line="360" w:lineRule="exact"/>
              <w:jc w:val="center"/>
              <w:rPr>
                <w:rFonts w:ascii="宋体" w:eastAsia="宋体" w:hAnsi="宋体"/>
                <w:sz w:val="24"/>
                <w:szCs w:val="24"/>
              </w:rPr>
            </w:pPr>
            <w:r>
              <w:rPr>
                <w:rFonts w:ascii="宋体" w:eastAsia="宋体" w:hAnsi="宋体" w:hint="eastAsia"/>
                <w:sz w:val="24"/>
                <w:szCs w:val="24"/>
              </w:rPr>
              <w:lastRenderedPageBreak/>
              <w:t>5</w:t>
            </w:r>
          </w:p>
        </w:tc>
        <w:tc>
          <w:tcPr>
            <w:tcW w:w="1701" w:type="dxa"/>
            <w:vAlign w:val="center"/>
          </w:tcPr>
          <w:p w:rsidR="00C40C7C" w:rsidRPr="00E14A76" w:rsidRDefault="00C40C7C" w:rsidP="00014425">
            <w:pPr>
              <w:spacing w:line="360" w:lineRule="exact"/>
              <w:jc w:val="center"/>
              <w:rPr>
                <w:rFonts w:ascii="宋体" w:eastAsia="宋体" w:hAnsi="宋体"/>
                <w:sz w:val="24"/>
                <w:szCs w:val="24"/>
              </w:rPr>
            </w:pPr>
            <w:r w:rsidRPr="00E14A76">
              <w:rPr>
                <w:rFonts w:ascii="宋体" w:eastAsia="宋体" w:hAnsi="宋体" w:hint="eastAsia"/>
                <w:sz w:val="24"/>
                <w:szCs w:val="24"/>
              </w:rPr>
              <w:t>服务质量保证</w:t>
            </w:r>
          </w:p>
        </w:tc>
        <w:tc>
          <w:tcPr>
            <w:tcW w:w="1417" w:type="dxa"/>
            <w:vAlign w:val="center"/>
          </w:tcPr>
          <w:p w:rsidR="00C40C7C" w:rsidRPr="00E14A76" w:rsidRDefault="00C40C7C" w:rsidP="00014425">
            <w:pPr>
              <w:spacing w:line="360" w:lineRule="exact"/>
              <w:jc w:val="center"/>
              <w:rPr>
                <w:rFonts w:ascii="宋体" w:eastAsia="宋体" w:hAnsi="宋体"/>
                <w:sz w:val="24"/>
                <w:szCs w:val="24"/>
              </w:rPr>
            </w:pPr>
            <w:r w:rsidRPr="00E14A76">
              <w:rPr>
                <w:rFonts w:ascii="宋体" w:eastAsia="宋体" w:hAnsi="宋体" w:hint="eastAsia"/>
                <w:sz w:val="24"/>
                <w:szCs w:val="24"/>
              </w:rPr>
              <w:t>25</w:t>
            </w:r>
          </w:p>
        </w:tc>
        <w:tc>
          <w:tcPr>
            <w:tcW w:w="5245" w:type="dxa"/>
          </w:tcPr>
          <w:p w:rsidR="00C40C7C" w:rsidRDefault="00C40C7C" w:rsidP="00014425">
            <w:pPr>
              <w:spacing w:line="360" w:lineRule="exact"/>
              <w:rPr>
                <w:rFonts w:ascii="宋体" w:eastAsia="宋体" w:hAnsi="宋体"/>
                <w:sz w:val="24"/>
                <w:szCs w:val="24"/>
              </w:rPr>
            </w:pPr>
            <w:r w:rsidRPr="00E14A76">
              <w:rPr>
                <w:rFonts w:ascii="宋体" w:eastAsia="宋体" w:hAnsi="宋体" w:hint="eastAsia"/>
                <w:sz w:val="24"/>
                <w:szCs w:val="24"/>
              </w:rPr>
              <w:t>根据投标单位投标文件中提供的</w:t>
            </w:r>
            <w:r w:rsidRPr="004E0834">
              <w:rPr>
                <w:rFonts w:ascii="宋体" w:eastAsia="宋体" w:hAnsi="宋体" w:hint="eastAsia"/>
                <w:sz w:val="24"/>
                <w:szCs w:val="24"/>
              </w:rPr>
              <w:t>内部管理制度、标准体系、质量管理措施等情况进行综合评审</w:t>
            </w:r>
            <w:r>
              <w:rPr>
                <w:rFonts w:ascii="宋体" w:eastAsia="宋体" w:hAnsi="宋体" w:hint="eastAsia"/>
                <w:sz w:val="24"/>
                <w:szCs w:val="24"/>
              </w:rPr>
              <w:t>。</w:t>
            </w:r>
          </w:p>
          <w:p w:rsidR="00C40C7C" w:rsidRDefault="00C40C7C" w:rsidP="00014425">
            <w:pPr>
              <w:spacing w:line="360" w:lineRule="exact"/>
              <w:rPr>
                <w:rFonts w:ascii="宋体" w:eastAsia="宋体" w:hAnsi="宋体"/>
                <w:sz w:val="24"/>
                <w:szCs w:val="24"/>
              </w:rPr>
            </w:pPr>
            <w:r>
              <w:rPr>
                <w:rFonts w:ascii="宋体" w:eastAsia="宋体" w:hAnsi="宋体" w:hint="eastAsia"/>
                <w:sz w:val="24"/>
                <w:szCs w:val="24"/>
              </w:rPr>
              <w:t>（1）</w:t>
            </w:r>
            <w:r w:rsidRPr="00E14A76">
              <w:rPr>
                <w:rFonts w:ascii="宋体" w:eastAsia="宋体" w:hAnsi="宋体" w:hint="eastAsia"/>
                <w:sz w:val="24"/>
                <w:szCs w:val="24"/>
              </w:rPr>
              <w:t>实施过程中的</w:t>
            </w:r>
            <w:r w:rsidRPr="004E0834">
              <w:rPr>
                <w:rFonts w:ascii="宋体" w:eastAsia="宋体" w:hAnsi="宋体" w:hint="eastAsia"/>
                <w:sz w:val="24"/>
                <w:szCs w:val="24"/>
              </w:rPr>
              <w:t>内部管理制度、标准体系、质量管理措施</w:t>
            </w:r>
            <w:r w:rsidRPr="00E14A76">
              <w:rPr>
                <w:rFonts w:ascii="宋体" w:eastAsia="宋体" w:hAnsi="宋体" w:hint="eastAsia"/>
                <w:sz w:val="24"/>
                <w:szCs w:val="24"/>
              </w:rPr>
              <w:t>详细完善、有针对性，且切实可行的，设备质量合格证明清晰有效，在</w:t>
            </w:r>
            <w:r>
              <w:rPr>
                <w:rFonts w:ascii="宋体" w:eastAsia="宋体" w:hAnsi="宋体"/>
                <w:sz w:val="24"/>
                <w:szCs w:val="24"/>
              </w:rPr>
              <w:t>15-25</w:t>
            </w:r>
            <w:r w:rsidRPr="00E14A76">
              <w:rPr>
                <w:rFonts w:ascii="宋体" w:eastAsia="宋体" w:hAnsi="宋体"/>
                <w:sz w:val="24"/>
                <w:szCs w:val="24"/>
              </w:rPr>
              <w:t>分之间打分；</w:t>
            </w:r>
          </w:p>
          <w:p w:rsidR="00C40C7C" w:rsidRPr="00E14A76" w:rsidRDefault="00C40C7C" w:rsidP="00014425">
            <w:pPr>
              <w:spacing w:line="360" w:lineRule="exact"/>
              <w:rPr>
                <w:rFonts w:ascii="宋体" w:eastAsia="宋体" w:hAnsi="宋体"/>
                <w:sz w:val="24"/>
                <w:szCs w:val="24"/>
              </w:rPr>
            </w:pPr>
            <w:r>
              <w:rPr>
                <w:rFonts w:ascii="宋体" w:eastAsia="宋体" w:hAnsi="宋体" w:hint="eastAsia"/>
                <w:sz w:val="24"/>
                <w:szCs w:val="24"/>
              </w:rPr>
              <w:t>（2）</w:t>
            </w:r>
            <w:r w:rsidRPr="00E14A76">
              <w:rPr>
                <w:rFonts w:ascii="宋体" w:eastAsia="宋体" w:hAnsi="宋体"/>
                <w:sz w:val="24"/>
                <w:szCs w:val="24"/>
              </w:rPr>
              <w:t>有</w:t>
            </w:r>
            <w:r>
              <w:rPr>
                <w:rFonts w:ascii="宋体" w:eastAsia="宋体" w:hAnsi="宋体"/>
                <w:sz w:val="24"/>
                <w:szCs w:val="24"/>
              </w:rPr>
              <w:t>一定的质量</w:t>
            </w:r>
            <w:r>
              <w:rPr>
                <w:rFonts w:ascii="宋体" w:eastAsia="宋体" w:hAnsi="宋体" w:hint="eastAsia"/>
                <w:sz w:val="24"/>
                <w:szCs w:val="24"/>
              </w:rPr>
              <w:t>管理</w:t>
            </w:r>
            <w:r w:rsidRPr="00E14A76">
              <w:rPr>
                <w:rFonts w:ascii="宋体" w:eastAsia="宋体" w:hAnsi="宋体"/>
                <w:sz w:val="24"/>
                <w:szCs w:val="24"/>
              </w:rPr>
              <w:t>体系和措施，但</w:t>
            </w:r>
            <w:r w:rsidRPr="00E14A76">
              <w:rPr>
                <w:rFonts w:ascii="宋体" w:eastAsia="宋体" w:hAnsi="宋体" w:hint="eastAsia"/>
                <w:sz w:val="24"/>
                <w:szCs w:val="24"/>
              </w:rPr>
              <w:t>缺乏具体保障手段和方案，或缺少针对性或可行性的，在</w:t>
            </w:r>
            <w:r>
              <w:rPr>
                <w:rFonts w:ascii="宋体" w:eastAsia="宋体" w:hAnsi="宋体"/>
                <w:sz w:val="24"/>
                <w:szCs w:val="24"/>
              </w:rPr>
              <w:t>0-15</w:t>
            </w:r>
            <w:r w:rsidRPr="00E14A76">
              <w:rPr>
                <w:rFonts w:ascii="宋体" w:eastAsia="宋体" w:hAnsi="宋体"/>
                <w:sz w:val="24"/>
                <w:szCs w:val="24"/>
              </w:rPr>
              <w:t>分</w:t>
            </w:r>
            <w:r w:rsidRPr="00E14A76">
              <w:rPr>
                <w:rFonts w:ascii="宋体" w:eastAsia="宋体" w:hAnsi="宋体" w:hint="eastAsia"/>
                <w:sz w:val="24"/>
                <w:szCs w:val="24"/>
              </w:rPr>
              <w:t>之间打分。</w:t>
            </w:r>
          </w:p>
        </w:tc>
      </w:tr>
      <w:tr w:rsidR="00C40C7C" w:rsidRPr="00E14A76" w:rsidTr="00014425">
        <w:tc>
          <w:tcPr>
            <w:tcW w:w="846" w:type="dxa"/>
            <w:vAlign w:val="center"/>
          </w:tcPr>
          <w:p w:rsidR="00C40C7C" w:rsidRPr="00E14A76" w:rsidRDefault="00C40C7C" w:rsidP="00014425">
            <w:pPr>
              <w:spacing w:line="360" w:lineRule="exact"/>
              <w:jc w:val="center"/>
              <w:rPr>
                <w:rFonts w:ascii="宋体" w:eastAsia="宋体" w:hAnsi="宋体"/>
                <w:sz w:val="24"/>
                <w:szCs w:val="24"/>
              </w:rPr>
            </w:pPr>
            <w:r>
              <w:rPr>
                <w:rFonts w:ascii="宋体" w:eastAsia="宋体" w:hAnsi="宋体" w:hint="eastAsia"/>
                <w:sz w:val="24"/>
                <w:szCs w:val="24"/>
              </w:rPr>
              <w:t>6</w:t>
            </w:r>
          </w:p>
        </w:tc>
        <w:tc>
          <w:tcPr>
            <w:tcW w:w="1701" w:type="dxa"/>
            <w:vAlign w:val="center"/>
          </w:tcPr>
          <w:p w:rsidR="00C40C7C" w:rsidRPr="00E14A76" w:rsidRDefault="00C40C7C" w:rsidP="00014425">
            <w:pPr>
              <w:spacing w:line="360" w:lineRule="exact"/>
              <w:jc w:val="center"/>
              <w:rPr>
                <w:rFonts w:ascii="宋体" w:eastAsia="宋体" w:hAnsi="宋体"/>
                <w:sz w:val="24"/>
                <w:szCs w:val="24"/>
              </w:rPr>
            </w:pPr>
            <w:r>
              <w:rPr>
                <w:rFonts w:ascii="宋体" w:eastAsia="宋体" w:hAnsi="宋体" w:hint="eastAsia"/>
                <w:sz w:val="24"/>
                <w:szCs w:val="24"/>
              </w:rPr>
              <w:t>同类</w:t>
            </w:r>
            <w:r w:rsidRPr="00E14A76">
              <w:rPr>
                <w:rFonts w:ascii="宋体" w:eastAsia="宋体" w:hAnsi="宋体" w:hint="eastAsia"/>
                <w:sz w:val="24"/>
                <w:szCs w:val="24"/>
              </w:rPr>
              <w:t>项目业绩</w:t>
            </w:r>
          </w:p>
        </w:tc>
        <w:tc>
          <w:tcPr>
            <w:tcW w:w="1417" w:type="dxa"/>
            <w:vAlign w:val="center"/>
          </w:tcPr>
          <w:p w:rsidR="00C40C7C" w:rsidRPr="00E14A76" w:rsidRDefault="00C40C7C" w:rsidP="00014425">
            <w:pPr>
              <w:spacing w:line="360" w:lineRule="exact"/>
              <w:jc w:val="center"/>
              <w:rPr>
                <w:rFonts w:ascii="宋体" w:eastAsia="宋体" w:hAnsi="宋体"/>
                <w:sz w:val="24"/>
                <w:szCs w:val="24"/>
              </w:rPr>
            </w:pPr>
            <w:r w:rsidRPr="00E14A76">
              <w:rPr>
                <w:rFonts w:ascii="宋体" w:eastAsia="宋体" w:hAnsi="宋体" w:hint="eastAsia"/>
                <w:sz w:val="24"/>
                <w:szCs w:val="24"/>
              </w:rPr>
              <w:t>15</w:t>
            </w:r>
          </w:p>
        </w:tc>
        <w:tc>
          <w:tcPr>
            <w:tcW w:w="5245" w:type="dxa"/>
          </w:tcPr>
          <w:p w:rsidR="00C40C7C" w:rsidRPr="00E14A76" w:rsidRDefault="00C40C7C" w:rsidP="00014425">
            <w:pPr>
              <w:spacing w:line="360" w:lineRule="exact"/>
              <w:rPr>
                <w:rFonts w:ascii="宋体" w:eastAsia="宋体" w:hAnsi="宋体"/>
                <w:sz w:val="24"/>
                <w:szCs w:val="24"/>
              </w:rPr>
            </w:pPr>
            <w:r w:rsidRPr="00E14A76">
              <w:rPr>
                <w:rFonts w:ascii="宋体" w:eastAsia="宋体" w:hAnsi="宋体" w:hint="eastAsia"/>
                <w:sz w:val="24"/>
                <w:szCs w:val="24"/>
              </w:rPr>
              <w:t>投标单位自</w:t>
            </w:r>
            <w:r w:rsidRPr="00E14A76">
              <w:rPr>
                <w:rFonts w:ascii="宋体" w:eastAsia="宋体" w:hAnsi="宋体"/>
                <w:sz w:val="24"/>
                <w:szCs w:val="24"/>
              </w:rPr>
              <w:t>2020年1月</w:t>
            </w:r>
            <w:r>
              <w:rPr>
                <w:rFonts w:ascii="宋体" w:eastAsia="宋体" w:hAnsi="宋体"/>
                <w:sz w:val="24"/>
                <w:szCs w:val="24"/>
              </w:rPr>
              <w:t>1</w:t>
            </w:r>
            <w:r w:rsidRPr="00E14A76">
              <w:rPr>
                <w:rFonts w:ascii="宋体" w:eastAsia="宋体" w:hAnsi="宋体"/>
                <w:sz w:val="24"/>
                <w:szCs w:val="24"/>
              </w:rPr>
              <w:t>日（以合同签订时间为准）起</w:t>
            </w:r>
            <w:r w:rsidRPr="004E0834">
              <w:rPr>
                <w:rFonts w:ascii="宋体" w:eastAsia="宋体" w:hAnsi="宋体" w:hint="eastAsia"/>
                <w:sz w:val="24"/>
                <w:szCs w:val="24"/>
              </w:rPr>
              <w:t>承担过县级及以上政府部门承诺达标合格证应用推广项目的，</w:t>
            </w:r>
            <w:r w:rsidRPr="00AB0A71">
              <w:rPr>
                <w:rFonts w:ascii="宋体" w:eastAsia="宋体" w:hAnsi="宋体" w:hint="eastAsia"/>
                <w:sz w:val="24"/>
                <w:szCs w:val="24"/>
              </w:rPr>
              <w:t>每提供一份业绩合同证明得</w:t>
            </w:r>
            <w:r>
              <w:rPr>
                <w:rFonts w:ascii="宋体" w:eastAsia="宋体" w:hAnsi="宋体"/>
                <w:sz w:val="24"/>
                <w:szCs w:val="24"/>
              </w:rPr>
              <w:t>5</w:t>
            </w:r>
            <w:r w:rsidRPr="00AB0A71">
              <w:rPr>
                <w:rFonts w:ascii="宋体" w:eastAsia="宋体" w:hAnsi="宋体"/>
                <w:sz w:val="24"/>
                <w:szCs w:val="24"/>
              </w:rPr>
              <w:t>分</w:t>
            </w:r>
            <w:r>
              <w:rPr>
                <w:rFonts w:ascii="宋体" w:eastAsia="宋体" w:hAnsi="宋体" w:hint="eastAsia"/>
                <w:sz w:val="24"/>
                <w:szCs w:val="24"/>
              </w:rPr>
              <w:t>，最高不超过15分，未提供或提供的材料评委不认可</w:t>
            </w:r>
            <w:r w:rsidRPr="00E14A76">
              <w:rPr>
                <w:rFonts w:ascii="宋体" w:eastAsia="宋体" w:hAnsi="宋体" w:hint="eastAsia"/>
                <w:sz w:val="24"/>
                <w:szCs w:val="24"/>
              </w:rPr>
              <w:t>，该项得0分</w:t>
            </w:r>
            <w:r w:rsidRPr="00E14A76">
              <w:rPr>
                <w:rFonts w:ascii="宋体" w:eastAsia="宋体" w:hAnsi="宋体"/>
                <w:sz w:val="24"/>
                <w:szCs w:val="24"/>
              </w:rPr>
              <w:t>。</w:t>
            </w:r>
          </w:p>
        </w:tc>
      </w:tr>
      <w:tr w:rsidR="00C40C7C" w:rsidRPr="00E14A76" w:rsidTr="00014425">
        <w:tc>
          <w:tcPr>
            <w:tcW w:w="846" w:type="dxa"/>
            <w:vAlign w:val="center"/>
          </w:tcPr>
          <w:p w:rsidR="00C40C7C" w:rsidRPr="00E14A76" w:rsidRDefault="00C40C7C" w:rsidP="00014425">
            <w:pPr>
              <w:spacing w:line="360" w:lineRule="exact"/>
              <w:jc w:val="center"/>
              <w:rPr>
                <w:rFonts w:ascii="宋体" w:eastAsia="宋体" w:hAnsi="宋体"/>
                <w:sz w:val="24"/>
                <w:szCs w:val="24"/>
              </w:rPr>
            </w:pPr>
            <w:r>
              <w:rPr>
                <w:rFonts w:ascii="宋体" w:eastAsia="宋体" w:hAnsi="宋体" w:hint="eastAsia"/>
                <w:sz w:val="24"/>
                <w:szCs w:val="24"/>
              </w:rPr>
              <w:t>7</w:t>
            </w:r>
          </w:p>
        </w:tc>
        <w:tc>
          <w:tcPr>
            <w:tcW w:w="1701" w:type="dxa"/>
            <w:vAlign w:val="center"/>
          </w:tcPr>
          <w:p w:rsidR="00C40C7C" w:rsidRPr="00E14A76" w:rsidRDefault="00C40C7C" w:rsidP="00014425">
            <w:pPr>
              <w:spacing w:line="360" w:lineRule="exact"/>
              <w:jc w:val="center"/>
              <w:rPr>
                <w:rFonts w:ascii="宋体" w:eastAsia="宋体" w:hAnsi="宋体"/>
                <w:sz w:val="24"/>
                <w:szCs w:val="24"/>
              </w:rPr>
            </w:pPr>
            <w:r w:rsidRPr="00E14A76">
              <w:rPr>
                <w:rFonts w:ascii="宋体" w:eastAsia="宋体" w:hAnsi="宋体" w:hint="eastAsia"/>
                <w:sz w:val="24"/>
                <w:szCs w:val="24"/>
              </w:rPr>
              <w:t>售后服务方案</w:t>
            </w:r>
          </w:p>
        </w:tc>
        <w:tc>
          <w:tcPr>
            <w:tcW w:w="1417" w:type="dxa"/>
            <w:vAlign w:val="center"/>
          </w:tcPr>
          <w:p w:rsidR="00C40C7C" w:rsidRPr="00E14A76" w:rsidRDefault="00C40C7C" w:rsidP="00014425">
            <w:pPr>
              <w:spacing w:line="360" w:lineRule="exact"/>
              <w:jc w:val="center"/>
              <w:rPr>
                <w:rFonts w:ascii="宋体" w:eastAsia="宋体" w:hAnsi="宋体"/>
                <w:sz w:val="24"/>
                <w:szCs w:val="24"/>
              </w:rPr>
            </w:pPr>
            <w:r w:rsidRPr="00E14A76">
              <w:rPr>
                <w:rFonts w:ascii="宋体" w:eastAsia="宋体" w:hAnsi="宋体" w:hint="eastAsia"/>
                <w:sz w:val="24"/>
                <w:szCs w:val="24"/>
              </w:rPr>
              <w:t>15</w:t>
            </w:r>
          </w:p>
        </w:tc>
        <w:tc>
          <w:tcPr>
            <w:tcW w:w="5245" w:type="dxa"/>
          </w:tcPr>
          <w:p w:rsidR="00C40C7C" w:rsidRDefault="00C40C7C" w:rsidP="00014425">
            <w:pPr>
              <w:spacing w:line="360" w:lineRule="exact"/>
              <w:rPr>
                <w:rFonts w:ascii="宋体" w:eastAsia="宋体" w:hAnsi="宋体"/>
                <w:sz w:val="24"/>
                <w:szCs w:val="24"/>
              </w:rPr>
            </w:pPr>
            <w:r w:rsidRPr="00E14A76">
              <w:rPr>
                <w:rFonts w:ascii="宋体" w:eastAsia="宋体" w:hAnsi="宋体" w:hint="eastAsia"/>
                <w:sz w:val="24"/>
                <w:szCs w:val="24"/>
              </w:rPr>
              <w:t>根据投标单位投标文件中对售后服务方案是否有效可行，售后服务保障体系、人员安排、响应时间、服务方式、服务内容等是否完善等的描述</w:t>
            </w:r>
            <w:r>
              <w:rPr>
                <w:rFonts w:ascii="宋体" w:eastAsia="宋体" w:hAnsi="宋体" w:hint="eastAsia"/>
                <w:sz w:val="24"/>
                <w:szCs w:val="24"/>
              </w:rPr>
              <w:t>打分。</w:t>
            </w:r>
          </w:p>
          <w:p w:rsidR="00C40C7C" w:rsidRDefault="00C40C7C" w:rsidP="00014425">
            <w:pPr>
              <w:spacing w:line="360" w:lineRule="exact"/>
              <w:rPr>
                <w:rFonts w:ascii="宋体" w:eastAsia="宋体" w:hAnsi="宋体"/>
                <w:sz w:val="24"/>
                <w:szCs w:val="24"/>
              </w:rPr>
            </w:pPr>
            <w:r>
              <w:rPr>
                <w:rFonts w:ascii="宋体" w:eastAsia="宋体" w:hAnsi="宋体" w:hint="eastAsia"/>
                <w:sz w:val="24"/>
                <w:szCs w:val="24"/>
              </w:rPr>
              <w:t>（1）</w:t>
            </w:r>
            <w:r w:rsidRPr="00E14A76">
              <w:rPr>
                <w:rFonts w:ascii="宋体" w:eastAsia="宋体" w:hAnsi="宋体" w:hint="eastAsia"/>
                <w:sz w:val="24"/>
                <w:szCs w:val="24"/>
              </w:rPr>
              <w:t>售后服务方案完全满足或高于项目需求的，在</w:t>
            </w:r>
            <w:r w:rsidRPr="00E14A76">
              <w:rPr>
                <w:rFonts w:ascii="宋体" w:eastAsia="宋体" w:hAnsi="宋体"/>
                <w:sz w:val="24"/>
                <w:szCs w:val="24"/>
              </w:rPr>
              <w:t>10-15分之间打分；</w:t>
            </w:r>
          </w:p>
          <w:p w:rsidR="00C40C7C" w:rsidRPr="00E14A76" w:rsidRDefault="00C40C7C" w:rsidP="00014425">
            <w:pPr>
              <w:spacing w:line="360" w:lineRule="exact"/>
              <w:rPr>
                <w:rFonts w:ascii="宋体" w:eastAsia="宋体" w:hAnsi="宋体"/>
                <w:sz w:val="24"/>
                <w:szCs w:val="24"/>
              </w:rPr>
            </w:pPr>
            <w:r>
              <w:rPr>
                <w:rFonts w:ascii="宋体" w:eastAsia="宋体" w:hAnsi="宋体" w:hint="eastAsia"/>
                <w:sz w:val="24"/>
                <w:szCs w:val="24"/>
              </w:rPr>
              <w:t>（2）</w:t>
            </w:r>
            <w:r w:rsidRPr="00E14A76">
              <w:rPr>
                <w:rFonts w:ascii="宋体" w:eastAsia="宋体" w:hAnsi="宋体"/>
                <w:sz w:val="24"/>
                <w:szCs w:val="24"/>
              </w:rPr>
              <w:t>售后服务方案基</w:t>
            </w:r>
            <w:r w:rsidRPr="00E14A76">
              <w:rPr>
                <w:rFonts w:ascii="宋体" w:eastAsia="宋体" w:hAnsi="宋体" w:hint="eastAsia"/>
                <w:sz w:val="24"/>
                <w:szCs w:val="24"/>
              </w:rPr>
              <w:t>本满足项目需求或有细微偏差的，在</w:t>
            </w:r>
            <w:r w:rsidRPr="00E14A76">
              <w:rPr>
                <w:rFonts w:ascii="宋体" w:eastAsia="宋体" w:hAnsi="宋体"/>
                <w:sz w:val="24"/>
                <w:szCs w:val="24"/>
              </w:rPr>
              <w:t>0-10分之间打分。</w:t>
            </w:r>
          </w:p>
        </w:tc>
      </w:tr>
      <w:tr w:rsidR="00C40C7C" w:rsidRPr="00E14A76" w:rsidTr="00014425">
        <w:trPr>
          <w:trHeight w:val="678"/>
        </w:trPr>
        <w:tc>
          <w:tcPr>
            <w:tcW w:w="846" w:type="dxa"/>
            <w:vAlign w:val="center"/>
          </w:tcPr>
          <w:p w:rsidR="00C40C7C" w:rsidRPr="00E14A76" w:rsidRDefault="00C40C7C" w:rsidP="00014425">
            <w:pPr>
              <w:spacing w:line="360" w:lineRule="exact"/>
              <w:jc w:val="center"/>
              <w:rPr>
                <w:rFonts w:ascii="宋体" w:eastAsia="宋体" w:hAnsi="宋体"/>
                <w:sz w:val="24"/>
                <w:szCs w:val="24"/>
              </w:rPr>
            </w:pPr>
            <w:r>
              <w:rPr>
                <w:rFonts w:ascii="宋体" w:eastAsia="宋体" w:hAnsi="宋体"/>
                <w:sz w:val="24"/>
                <w:szCs w:val="24"/>
              </w:rPr>
              <w:t>8</w:t>
            </w:r>
          </w:p>
        </w:tc>
        <w:tc>
          <w:tcPr>
            <w:tcW w:w="1701" w:type="dxa"/>
            <w:vAlign w:val="center"/>
          </w:tcPr>
          <w:p w:rsidR="00C40C7C" w:rsidRPr="00E14A76" w:rsidRDefault="00C40C7C" w:rsidP="00014425">
            <w:pPr>
              <w:spacing w:line="360" w:lineRule="exact"/>
              <w:jc w:val="center"/>
              <w:rPr>
                <w:rFonts w:ascii="宋体" w:eastAsia="宋体" w:hAnsi="宋体"/>
                <w:sz w:val="24"/>
                <w:szCs w:val="24"/>
              </w:rPr>
            </w:pPr>
            <w:r w:rsidRPr="00E14A76">
              <w:rPr>
                <w:rFonts w:ascii="宋体" w:eastAsia="宋体" w:hAnsi="宋体" w:hint="eastAsia"/>
                <w:sz w:val="24"/>
                <w:szCs w:val="24"/>
              </w:rPr>
              <w:t>总分</w:t>
            </w:r>
          </w:p>
        </w:tc>
        <w:tc>
          <w:tcPr>
            <w:tcW w:w="1417" w:type="dxa"/>
            <w:vAlign w:val="center"/>
          </w:tcPr>
          <w:p w:rsidR="00C40C7C" w:rsidRPr="00E14A76" w:rsidRDefault="00C40C7C" w:rsidP="00014425">
            <w:pPr>
              <w:spacing w:line="360" w:lineRule="exact"/>
              <w:jc w:val="center"/>
              <w:rPr>
                <w:rFonts w:ascii="宋体" w:eastAsia="宋体" w:hAnsi="宋体"/>
                <w:sz w:val="24"/>
                <w:szCs w:val="24"/>
              </w:rPr>
            </w:pPr>
            <w:r w:rsidRPr="00E14A76">
              <w:rPr>
                <w:rFonts w:ascii="宋体" w:eastAsia="宋体" w:hAnsi="宋体" w:hint="eastAsia"/>
                <w:sz w:val="24"/>
                <w:szCs w:val="24"/>
              </w:rPr>
              <w:t>100</w:t>
            </w:r>
          </w:p>
        </w:tc>
        <w:tc>
          <w:tcPr>
            <w:tcW w:w="5245" w:type="dxa"/>
          </w:tcPr>
          <w:p w:rsidR="00C40C7C" w:rsidRPr="00E14A76" w:rsidRDefault="00C40C7C" w:rsidP="00014425">
            <w:pPr>
              <w:spacing w:line="360" w:lineRule="exact"/>
              <w:jc w:val="center"/>
              <w:rPr>
                <w:rFonts w:ascii="宋体" w:eastAsia="宋体" w:hAnsi="宋体"/>
                <w:sz w:val="24"/>
                <w:szCs w:val="24"/>
              </w:rPr>
            </w:pPr>
          </w:p>
        </w:tc>
      </w:tr>
    </w:tbl>
    <w:p w:rsidR="00C40C7C" w:rsidRDefault="00C40C7C" w:rsidP="00C40C7C">
      <w:pPr>
        <w:rPr>
          <w:rFonts w:ascii="宋体" w:eastAsia="宋体" w:hAnsi="宋体"/>
          <w:sz w:val="44"/>
          <w:szCs w:val="44"/>
        </w:rPr>
      </w:pPr>
    </w:p>
    <w:p w:rsidR="00C40C7C" w:rsidRDefault="00C40C7C" w:rsidP="00C40C7C">
      <w:pPr>
        <w:rPr>
          <w:rFonts w:ascii="宋体" w:eastAsia="宋体" w:hAnsi="宋体"/>
          <w:sz w:val="44"/>
          <w:szCs w:val="44"/>
        </w:rPr>
      </w:pPr>
    </w:p>
    <w:p w:rsidR="00001447" w:rsidRDefault="00001447">
      <w:bookmarkStart w:id="0" w:name="_GoBack"/>
      <w:bookmarkEnd w:id="0"/>
    </w:p>
    <w:sectPr w:rsidR="00001447" w:rsidSect="00830E7C">
      <w:pgSz w:w="11905" w:h="16838" w:code="9"/>
      <w:pgMar w:top="2211" w:right="1531" w:bottom="1871" w:left="1531"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5DA" w:rsidRDefault="009015DA" w:rsidP="00C40C7C">
      <w:r>
        <w:separator/>
      </w:r>
    </w:p>
  </w:endnote>
  <w:endnote w:type="continuationSeparator" w:id="0">
    <w:p w:rsidR="009015DA" w:rsidRDefault="009015DA" w:rsidP="00C40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5DA" w:rsidRDefault="009015DA" w:rsidP="00C40C7C">
      <w:r>
        <w:separator/>
      </w:r>
    </w:p>
  </w:footnote>
  <w:footnote w:type="continuationSeparator" w:id="0">
    <w:p w:rsidR="009015DA" w:rsidRDefault="009015DA" w:rsidP="00C40C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958"/>
    <w:rsid w:val="00001447"/>
    <w:rsid w:val="00830E7C"/>
    <w:rsid w:val="009015DA"/>
    <w:rsid w:val="00C40C7C"/>
    <w:rsid w:val="00E629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F431E03-319A-478C-9628-EB13D0AD4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0C7C"/>
    <w:pPr>
      <w:widowControl w:val="0"/>
      <w:jc w:val="both"/>
    </w:pPr>
    <w:rPr>
      <w:rFonts w:ascii="仿宋_GB2312" w:eastAsia="仿宋_GB231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0C7C"/>
    <w:pPr>
      <w:pBdr>
        <w:bottom w:val="single" w:sz="6" w:space="1" w:color="auto"/>
      </w:pBdr>
      <w:tabs>
        <w:tab w:val="center" w:pos="4153"/>
        <w:tab w:val="right" w:pos="8306"/>
      </w:tabs>
      <w:snapToGrid w:val="0"/>
      <w:jc w:val="center"/>
    </w:pPr>
    <w:rPr>
      <w:rFonts w:asciiTheme="minorHAnsi" w:eastAsiaTheme="minorEastAsia"/>
      <w:sz w:val="18"/>
      <w:szCs w:val="18"/>
    </w:rPr>
  </w:style>
  <w:style w:type="character" w:customStyle="1" w:styleId="a4">
    <w:name w:val="页眉 字符"/>
    <w:basedOn w:val="a0"/>
    <w:link w:val="a3"/>
    <w:uiPriority w:val="99"/>
    <w:rsid w:val="00C40C7C"/>
    <w:rPr>
      <w:sz w:val="18"/>
      <w:szCs w:val="18"/>
    </w:rPr>
  </w:style>
  <w:style w:type="paragraph" w:styleId="a5">
    <w:name w:val="footer"/>
    <w:basedOn w:val="a"/>
    <w:link w:val="a6"/>
    <w:uiPriority w:val="99"/>
    <w:unhideWhenUsed/>
    <w:rsid w:val="00C40C7C"/>
    <w:pPr>
      <w:tabs>
        <w:tab w:val="center" w:pos="4153"/>
        <w:tab w:val="right" w:pos="8306"/>
      </w:tabs>
      <w:snapToGrid w:val="0"/>
      <w:jc w:val="left"/>
    </w:pPr>
    <w:rPr>
      <w:rFonts w:asciiTheme="minorHAnsi" w:eastAsiaTheme="minorEastAsia"/>
      <w:sz w:val="18"/>
      <w:szCs w:val="18"/>
    </w:rPr>
  </w:style>
  <w:style w:type="character" w:customStyle="1" w:styleId="a6">
    <w:name w:val="页脚 字符"/>
    <w:basedOn w:val="a0"/>
    <w:link w:val="a5"/>
    <w:uiPriority w:val="99"/>
    <w:rsid w:val="00C40C7C"/>
    <w:rPr>
      <w:sz w:val="18"/>
      <w:szCs w:val="18"/>
    </w:rPr>
  </w:style>
  <w:style w:type="table" w:styleId="a7">
    <w:name w:val="Table Grid"/>
    <w:basedOn w:val="a1"/>
    <w:uiPriority w:val="39"/>
    <w:rsid w:val="00C40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165</Words>
  <Characters>946</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2023-08-03T01:02:00Z</dcterms:created>
  <dcterms:modified xsi:type="dcterms:W3CDTF">2023-08-03T01:02:00Z</dcterms:modified>
</cp:coreProperties>
</file>