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300"/>
        </w:tabs>
        <w:ind w:firstLine="0" w:firstLineChars="0"/>
        <w:jc w:val="center"/>
        <w:rPr>
          <w:rFonts w:ascii="方正小标宋简体" w:hAnsi="方正小标宋简体" w:eastAsia="方正小标宋简体" w:cs="方正小标宋简体"/>
          <w:sz w:val="72"/>
          <w:szCs w:val="72"/>
        </w:rPr>
      </w:pPr>
    </w:p>
    <w:p>
      <w:pPr>
        <w:pStyle w:val="9"/>
        <w:tabs>
          <w:tab w:val="left" w:pos="300"/>
        </w:tabs>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台山市职业病防治</w:t>
      </w:r>
    </w:p>
    <w:p>
      <w:pPr>
        <w:pStyle w:val="9"/>
        <w:tabs>
          <w:tab w:val="left" w:pos="300"/>
        </w:tabs>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“十四五”规划</w:t>
      </w:r>
    </w:p>
    <w:p>
      <w:pPr>
        <w:jc w:val="center"/>
        <w:rPr>
          <w:sz w:val="44"/>
          <w:szCs w:val="44"/>
        </w:rPr>
      </w:pPr>
      <w:r>
        <w:rPr>
          <w:rFonts w:hint="eastAsia"/>
          <w:sz w:val="44"/>
          <w:szCs w:val="44"/>
        </w:rPr>
        <w:t>（征求意见稿）</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pStyle w:val="7"/>
        <w:tabs>
          <w:tab w:val="right" w:leader="dot" w:pos="8732"/>
        </w:tabs>
        <w:jc w:val="center"/>
        <w:rPr>
          <w:rFonts w:ascii="楷体" w:hAnsi="楷体" w:eastAsia="楷体"/>
          <w:sz w:val="36"/>
          <w:szCs w:val="36"/>
        </w:rPr>
      </w:pPr>
    </w:p>
    <w:p>
      <w:pPr>
        <w:pStyle w:val="7"/>
        <w:tabs>
          <w:tab w:val="right" w:leader="dot" w:pos="8732"/>
        </w:tabs>
        <w:jc w:val="center"/>
        <w:rPr>
          <w:rFonts w:ascii="楷体" w:hAnsi="楷体" w:eastAsia="楷体"/>
          <w:sz w:val="36"/>
          <w:szCs w:val="36"/>
        </w:rPr>
      </w:pPr>
    </w:p>
    <w:p>
      <w:pPr>
        <w:pStyle w:val="7"/>
        <w:tabs>
          <w:tab w:val="right" w:leader="dot" w:pos="8732"/>
        </w:tabs>
        <w:jc w:val="center"/>
        <w:rPr>
          <w:rFonts w:ascii="楷体" w:hAnsi="楷体" w:eastAsia="楷体"/>
          <w:sz w:val="36"/>
          <w:szCs w:val="36"/>
        </w:rPr>
      </w:pPr>
    </w:p>
    <w:p>
      <w:pPr>
        <w:pStyle w:val="7"/>
        <w:tabs>
          <w:tab w:val="right" w:leader="dot" w:pos="8732"/>
        </w:tabs>
        <w:jc w:val="center"/>
        <w:rPr>
          <w:rFonts w:ascii="楷体" w:hAnsi="楷体" w:eastAsia="楷体"/>
          <w:sz w:val="36"/>
          <w:szCs w:val="36"/>
        </w:rPr>
      </w:pPr>
    </w:p>
    <w:p>
      <w:pPr>
        <w:rPr>
          <w:rFonts w:ascii="楷体" w:hAnsi="楷体" w:eastAsia="楷体"/>
          <w:sz w:val="36"/>
          <w:szCs w:val="36"/>
        </w:rPr>
      </w:pPr>
    </w:p>
    <w:p>
      <w:pPr>
        <w:pStyle w:val="2"/>
        <w:rPr>
          <w:rFonts w:ascii="楷体" w:hAnsi="楷体" w:eastAsia="楷体"/>
          <w:sz w:val="36"/>
          <w:szCs w:val="36"/>
        </w:rPr>
      </w:pPr>
    </w:p>
    <w:p>
      <w:pPr>
        <w:pStyle w:val="3"/>
      </w:pPr>
    </w:p>
    <w:p/>
    <w:p/>
    <w:p>
      <w:pPr>
        <w:pStyle w:val="7"/>
        <w:tabs>
          <w:tab w:val="right" w:leader="dot" w:pos="8732"/>
        </w:tabs>
        <w:jc w:val="center"/>
        <w:rPr>
          <w:rFonts w:ascii="楷体" w:hAnsi="楷体" w:eastAsia="楷体"/>
          <w:sz w:val="36"/>
          <w:szCs w:val="36"/>
        </w:rPr>
      </w:pPr>
      <w:r>
        <w:rPr>
          <w:rFonts w:hint="eastAsia" w:ascii="楷体" w:hAnsi="楷体" w:eastAsia="楷体"/>
          <w:sz w:val="36"/>
          <w:szCs w:val="36"/>
        </w:rPr>
        <w:t>目录</w:t>
      </w:r>
    </w:p>
    <w:p>
      <w:pPr>
        <w:rPr>
          <w:rFonts w:ascii="楷体" w:hAnsi="楷体" w:eastAsia="楷体"/>
        </w:rPr>
      </w:pPr>
    </w:p>
    <w:p>
      <w:pPr>
        <w:pStyle w:val="3"/>
        <w:spacing w:line="560" w:lineRule="exact"/>
        <w:jc w:val="both"/>
        <w:rPr>
          <w:rFonts w:ascii="楷体" w:hAnsi="楷体" w:eastAsia="楷体" w:cs="仿宋_GB2312"/>
          <w:b w:val="0"/>
          <w:bCs w:val="0"/>
          <w:sz w:val="28"/>
          <w:szCs w:val="28"/>
        </w:rPr>
      </w:pPr>
      <w:r>
        <w:rPr>
          <w:rFonts w:hint="eastAsia" w:ascii="楷体" w:hAnsi="楷体" w:eastAsia="楷体" w:cs="仿宋_GB2312"/>
          <w:bCs w:val="0"/>
          <w:sz w:val="28"/>
          <w:szCs w:val="28"/>
        </w:rPr>
        <w:t>一、我市职业健康现状和问题</w:t>
      </w:r>
      <w:r>
        <w:rPr>
          <w:rFonts w:hint="eastAsia" w:ascii="楷体" w:hAnsi="楷体" w:eastAsia="楷体" w:cs="仿宋_GB2312"/>
          <w:b w:val="0"/>
          <w:bCs w:val="0"/>
          <w:sz w:val="28"/>
          <w:szCs w:val="28"/>
        </w:rPr>
        <w:t>……………………………………………1</w:t>
      </w:r>
      <w:r>
        <w:rPr>
          <w:rFonts w:hint="eastAsia" w:ascii="楷体" w:hAnsi="楷体" w:eastAsia="楷体" w:cs="仿宋_GB2312"/>
          <w:bCs w:val="0"/>
          <w:sz w:val="28"/>
          <w:szCs w:val="28"/>
        </w:rPr>
        <w:t>二、总体要求</w:t>
      </w:r>
      <w:r>
        <w:rPr>
          <w:rFonts w:hint="eastAsia" w:ascii="楷体" w:hAnsi="楷体" w:eastAsia="楷体" w:cs="仿宋_GB2312"/>
          <w:b w:val="0"/>
          <w:bCs w:val="0"/>
          <w:sz w:val="28"/>
          <w:szCs w:val="28"/>
        </w:rPr>
        <w:t>………………………………………………………………4（一）指导思想……………………………………………………………4（二）基本原则……………………………………………………………4（三）规划目标……………………………………………………………5（四）编制依据……………………………………………………………6</w:t>
      </w:r>
      <w:r>
        <w:rPr>
          <w:rFonts w:hint="eastAsia" w:ascii="楷体" w:hAnsi="楷体" w:eastAsia="楷体" w:cs="仿宋_GB2312"/>
          <w:bCs w:val="0"/>
          <w:sz w:val="28"/>
          <w:szCs w:val="28"/>
        </w:rPr>
        <w:t>三、主要任务</w:t>
      </w:r>
      <w:r>
        <w:rPr>
          <w:rFonts w:hint="eastAsia" w:ascii="楷体" w:hAnsi="楷体" w:eastAsia="楷体" w:cs="仿宋_GB2312"/>
          <w:b w:val="0"/>
          <w:bCs w:val="0"/>
          <w:sz w:val="28"/>
          <w:szCs w:val="28"/>
        </w:rPr>
        <w:t>………………………………………………………………6（一）深化职业病危害预防治理…………………………………………6（二）加强职业病预防宣传教育…………………………………………8（三）提升职业病救治保障水平…………………………………………9（四）强化职业健康监管执法工作………………………………………10（五）健全职业病防治技术支撑体系……………………………………11（六）加强职业健康人才队伍建设………………………………………12（七）加强职业健康信息化建设…………………………………………13</w:t>
      </w:r>
    </w:p>
    <w:p>
      <w:pPr>
        <w:spacing w:line="560" w:lineRule="exact"/>
        <w:rPr>
          <w:rFonts w:ascii="楷体" w:hAnsi="楷体" w:eastAsia="楷体" w:cs="仿宋_GB2312"/>
          <w:sz w:val="28"/>
          <w:szCs w:val="28"/>
        </w:rPr>
      </w:pPr>
      <w:r>
        <w:rPr>
          <w:rFonts w:hint="eastAsia" w:ascii="楷体" w:hAnsi="楷体" w:eastAsia="楷体" w:cs="仿宋_GB2312"/>
          <w:b/>
          <w:sz w:val="28"/>
          <w:szCs w:val="28"/>
        </w:rPr>
        <w:t>四、保障措施</w:t>
      </w:r>
      <w:r>
        <w:rPr>
          <w:rFonts w:hint="eastAsia" w:ascii="楷体" w:hAnsi="楷体" w:eastAsia="楷体" w:cs="仿宋_GB2312"/>
          <w:sz w:val="28"/>
          <w:szCs w:val="28"/>
        </w:rPr>
        <w:t>………………………………………………………………15</w:t>
      </w:r>
    </w:p>
    <w:p>
      <w:pPr>
        <w:pStyle w:val="7"/>
        <w:tabs>
          <w:tab w:val="right" w:leader="dot" w:pos="8732"/>
        </w:tabs>
        <w:spacing w:line="560" w:lineRule="exact"/>
        <w:rPr>
          <w:rFonts w:ascii="楷体" w:hAnsi="楷体" w:eastAsia="楷体" w:cs="仿宋_GB2312"/>
          <w:sz w:val="28"/>
          <w:szCs w:val="28"/>
        </w:rPr>
        <w:sectPr>
          <w:footerReference r:id="rId4" w:type="first"/>
          <w:footerReference r:id="rId3" w:type="default"/>
          <w:pgSz w:w="11906" w:h="16838"/>
          <w:pgMar w:top="1588" w:right="1588" w:bottom="1588" w:left="1588" w:header="851" w:footer="1134" w:gutter="0"/>
          <w:cols w:space="720" w:num="1"/>
          <w:titlePg/>
          <w:docGrid w:linePitch="312" w:charSpace="0"/>
        </w:sectPr>
      </w:pPr>
      <w:r>
        <w:rPr>
          <w:rFonts w:hint="eastAsia" w:ascii="楷体" w:hAnsi="楷体" w:eastAsia="楷体" w:cs="仿宋_GB2312"/>
          <w:sz w:val="28"/>
          <w:szCs w:val="28"/>
        </w:rPr>
        <w:t>（一）加强统筹领导，强化组织保障……………………………………15（二）加快政策融合，形成协同局面……………………………………15（三）完善经费投入机制，强化资金保障………………………………15（四）加强督查评估，确保规划落实……………………………………16</w:t>
      </w:r>
      <w:r>
        <w:rPr>
          <w:rFonts w:ascii="楷体" w:hAnsi="楷体" w:eastAsia="楷体" w:cs="仿宋_GB2312"/>
          <w:sz w:val="28"/>
          <w:szCs w:val="28"/>
        </w:rPr>
        <w:fldChar w:fldCharType="begin"/>
      </w:r>
      <w:r>
        <w:rPr>
          <w:rFonts w:ascii="楷体" w:hAnsi="楷体" w:eastAsia="楷体" w:cs="仿宋_GB2312"/>
          <w:sz w:val="28"/>
          <w:szCs w:val="28"/>
        </w:rPr>
        <w:instrText xml:space="preserve">TOC \o "1-3" \h \u </w:instrText>
      </w:r>
      <w:r>
        <w:rPr>
          <w:rFonts w:ascii="楷体" w:hAnsi="楷体" w:eastAsia="楷体" w:cs="仿宋_GB2312"/>
          <w:sz w:val="28"/>
          <w:szCs w:val="28"/>
        </w:rPr>
        <w:fldChar w:fldCharType="end"/>
      </w:r>
    </w:p>
    <w:p>
      <w:pPr>
        <w:widowControl/>
        <w:spacing w:line="560" w:lineRule="exact"/>
        <w:ind w:firstLine="640" w:firstLineChars="200"/>
        <w:rPr>
          <w:rFonts w:eastAsia="仿宋_GB2312"/>
          <w:sz w:val="32"/>
          <w:szCs w:val="20"/>
        </w:rPr>
      </w:pPr>
      <w:r>
        <w:rPr>
          <w:rFonts w:eastAsia="仿宋_GB2312"/>
          <w:sz w:val="32"/>
          <w:szCs w:val="20"/>
        </w:rPr>
        <w:t>为贯彻落实《中华人民共和国基本医疗卫生与健康促进</w:t>
      </w:r>
      <w:r>
        <w:rPr>
          <w:rFonts w:hint="eastAsia" w:ascii="仿宋_GB2312" w:hAnsi="仿宋_GB2312" w:eastAsia="仿宋_GB2312" w:cs="仿宋_GB2312"/>
          <w:sz w:val="32"/>
          <w:szCs w:val="20"/>
        </w:rPr>
        <w:t>法》</w:t>
      </w:r>
      <w:r>
        <w:rPr>
          <w:rFonts w:eastAsia="仿宋_GB2312"/>
          <w:sz w:val="32"/>
          <w:szCs w:val="20"/>
        </w:rPr>
        <w:t>《中华人民共和国职业病防治法》</w:t>
      </w:r>
      <w:r>
        <w:rPr>
          <w:rFonts w:hint="eastAsia" w:ascii="仿宋_GB2312" w:hAnsi="仿宋_GB2312" w:eastAsia="仿宋_GB2312" w:cs="仿宋_GB2312"/>
          <w:sz w:val="32"/>
          <w:szCs w:val="20"/>
        </w:rPr>
        <w:t>《国家职业病防治规划（2021-2025年）》和《广东省职业病防治规划（2021-2025年）》，进一步提升我市职业病防治工作水平，结合《“健康广东2030”规划》《健康广东行动（2019-2030年）》《广东省卫生健康事业</w:t>
      </w:r>
      <w:r>
        <w:rPr>
          <w:rFonts w:eastAsia="仿宋_GB2312"/>
          <w:sz w:val="32"/>
          <w:szCs w:val="20"/>
        </w:rPr>
        <w:t>发展“十四五”规划》</w:t>
      </w:r>
      <w:r>
        <w:rPr>
          <w:rFonts w:hint="eastAsia" w:eastAsia="仿宋_GB2312"/>
          <w:sz w:val="32"/>
          <w:szCs w:val="20"/>
        </w:rPr>
        <w:t>《江门市职业病防治“十四五”规划》</w:t>
      </w:r>
      <w:r>
        <w:rPr>
          <w:rFonts w:eastAsia="仿宋_GB2312"/>
          <w:sz w:val="32"/>
          <w:szCs w:val="20"/>
        </w:rPr>
        <w:t>等有关要求和我市实际，制定本规划。</w:t>
      </w:r>
    </w:p>
    <w:p>
      <w:pPr>
        <w:spacing w:line="560" w:lineRule="exact"/>
        <w:outlineLvl w:val="0"/>
        <w:rPr>
          <w:rFonts w:eastAsia="黑体"/>
          <w:sz w:val="32"/>
          <w:szCs w:val="20"/>
        </w:rPr>
      </w:pPr>
      <w:r>
        <w:rPr>
          <w:rFonts w:eastAsia="仿宋_GB2312"/>
          <w:sz w:val="32"/>
          <w:szCs w:val="20"/>
        </w:rPr>
        <w:t xml:space="preserve">   </w:t>
      </w:r>
      <w:r>
        <w:rPr>
          <w:rFonts w:eastAsia="黑体"/>
          <w:sz w:val="32"/>
          <w:szCs w:val="20"/>
        </w:rPr>
        <w:t xml:space="preserve"> 一、我市职业健康现状</w:t>
      </w:r>
      <w:r>
        <w:rPr>
          <w:rFonts w:hint="eastAsia" w:eastAsia="黑体"/>
          <w:sz w:val="32"/>
          <w:szCs w:val="20"/>
        </w:rPr>
        <w:t>和问题</w:t>
      </w:r>
    </w:p>
    <w:p>
      <w:pPr>
        <w:widowControl/>
        <w:spacing w:line="560" w:lineRule="exact"/>
        <w:ind w:firstLine="640"/>
        <w:rPr>
          <w:rFonts w:eastAsia="仿宋_GB2312"/>
          <w:sz w:val="32"/>
          <w:szCs w:val="20"/>
        </w:rPr>
      </w:pPr>
      <w:r>
        <w:rPr>
          <w:rFonts w:eastAsia="仿宋_GB2312"/>
          <w:sz w:val="32"/>
          <w:szCs w:val="20"/>
        </w:rPr>
        <w:t>职业病防治工作事关广大劳动者健康福祉，事关经济发展和社会稳定大局，是健康中国、健康广东和健康江门建设的重要内容。市委、市政府高度重视职业病防治工作，在贯彻落实省</w:t>
      </w:r>
      <w:r>
        <w:rPr>
          <w:rFonts w:hint="eastAsia" w:ascii="仿宋_GB2312" w:hAnsi="仿宋_GB2312" w:eastAsia="仿宋_GB2312" w:cs="仿宋_GB2312"/>
          <w:sz w:val="32"/>
          <w:szCs w:val="20"/>
        </w:rPr>
        <w:t>卫健委等八部门下发的《关于进一步加强职业病防治工作的意见》（粤卫〔2019〕64号）的基础上，我市出台实施《关于印发&lt;关于进一步加强职业病防治工作方案&gt;的通知 》（台卫</w:t>
      </w:r>
      <w:r>
        <w:rPr>
          <w:rFonts w:hint="eastAsia" w:ascii="宋体" w:hAnsi="宋体" w:cs="宋体"/>
          <w:sz w:val="32"/>
          <w:szCs w:val="20"/>
        </w:rPr>
        <w:t>﹝</w:t>
      </w:r>
      <w:r>
        <w:rPr>
          <w:rFonts w:hint="eastAsia" w:ascii="仿宋_GB2312" w:hAnsi="仿宋_GB2312" w:eastAsia="仿宋_GB2312" w:cs="仿宋_GB2312"/>
          <w:sz w:val="32"/>
          <w:szCs w:val="20"/>
        </w:rPr>
        <w:t>2020</w:t>
      </w:r>
      <w:r>
        <w:rPr>
          <w:rFonts w:hint="eastAsia" w:ascii="宋体" w:hAnsi="宋体" w:cs="宋体"/>
          <w:sz w:val="32"/>
          <w:szCs w:val="20"/>
        </w:rPr>
        <w:t>﹞</w:t>
      </w:r>
      <w:r>
        <w:rPr>
          <w:rFonts w:hint="eastAsia" w:ascii="仿宋_GB2312" w:hAnsi="仿宋_GB2312" w:eastAsia="仿宋_GB2312" w:cs="仿宋_GB2312"/>
          <w:sz w:val="32"/>
          <w:szCs w:val="20"/>
        </w:rPr>
        <w:t>3号）,大力推动职业病防治长效机制和规范化建设。《国家职业病防治规划（2016-2020年）》《广东省职业病防治规划（2017-2020年）》和《江门市职业病防治规划（2017-2020年）》实施以来，各镇街、各部门认真贯彻落实党中央、国务院决策部署和省、江门市、台山市各级党委、政府的有关要求，坚持预防为主、防治结合，加强劳动用工和劳动工时规范管理，着力</w:t>
      </w:r>
      <w:r>
        <w:rPr>
          <w:rFonts w:eastAsia="仿宋_GB2312"/>
          <w:sz w:val="32"/>
          <w:szCs w:val="20"/>
        </w:rPr>
        <w:t>改善工作场所劳动条件，加强职业病及危害因素监测，建立健全职业病诊断救治康复网络，不断完善职业健康工作机制，初步形成全市各级政府依法监管、用人单位全面负责、劳动者和群众广泛参与、全社会积极支持的职业病防治工作格局。</w:t>
      </w:r>
    </w:p>
    <w:p>
      <w:pPr>
        <w:spacing w:line="560" w:lineRule="exact"/>
        <w:ind w:firstLine="819" w:firstLineChars="256"/>
        <w:rPr>
          <w:rFonts w:eastAsia="仿宋_GB2312"/>
          <w:sz w:val="32"/>
          <w:szCs w:val="20"/>
        </w:rPr>
      </w:pPr>
      <w:r>
        <w:rPr>
          <w:rFonts w:eastAsia="仿宋_GB2312"/>
          <w:sz w:val="32"/>
          <w:szCs w:val="20"/>
        </w:rPr>
        <w:t>我市职业病防治“十三五”规划目标已全面完成，</w:t>
      </w:r>
      <w:r>
        <w:rPr>
          <w:rFonts w:hint="eastAsia" w:ascii="仿宋_GB2312" w:hAnsi="方正小标宋简体" w:eastAsia="仿宋_GB2312"/>
          <w:snapToGrid w:val="0"/>
          <w:kern w:val="0"/>
          <w:sz w:val="32"/>
          <w:szCs w:val="32"/>
        </w:rPr>
        <w:t>全市职业卫生监管水平明显提升，职业病防治服务能力有所增强，职业病源头治理力度进一步加大，用人单位主体责任不断落实</w:t>
      </w:r>
      <w:r>
        <w:rPr>
          <w:rFonts w:hint="eastAsia" w:ascii="仿宋_GB2312" w:hAnsi="仿宋_GB2312" w:eastAsia="仿宋_GB2312" w:cs="仿宋_GB2312"/>
          <w:snapToGrid w:val="0"/>
          <w:kern w:val="0"/>
          <w:sz w:val="32"/>
          <w:szCs w:val="32"/>
        </w:rPr>
        <w:t>，工作场所作业环境有效改善，职业健康监护工作有序开展，劳动者职业健康权益得到切实保障，有效预防职业病发生。2016年至2020年未发现</w:t>
      </w:r>
      <w:r>
        <w:rPr>
          <w:rFonts w:hint="eastAsia" w:ascii="仿宋_GB2312" w:hAnsi="仿宋_GB2312" w:eastAsia="仿宋_GB2312" w:cs="仿宋_GB2312"/>
          <w:sz w:val="32"/>
          <w:szCs w:val="20"/>
        </w:rPr>
        <w:t>尘肺病接尘工龄不足5年新发尘肺病，全市未发现急性职业中毒事故及放射事故。实现</w:t>
      </w:r>
      <w:r>
        <w:rPr>
          <w:rFonts w:eastAsia="仿宋_GB2312"/>
          <w:b/>
          <w:bCs/>
          <w:sz w:val="32"/>
          <w:szCs w:val="20"/>
        </w:rPr>
        <w:t>“</w:t>
      </w:r>
      <w:r>
        <w:rPr>
          <w:rFonts w:hint="eastAsia" w:eastAsia="仿宋_GB2312"/>
          <w:b/>
          <w:bCs/>
          <w:sz w:val="32"/>
          <w:szCs w:val="20"/>
        </w:rPr>
        <w:t>三</w:t>
      </w:r>
      <w:r>
        <w:rPr>
          <w:rFonts w:eastAsia="仿宋_GB2312"/>
          <w:b/>
          <w:bCs/>
          <w:sz w:val="32"/>
          <w:szCs w:val="20"/>
        </w:rPr>
        <w:t>提升”</w:t>
      </w:r>
      <w:r>
        <w:rPr>
          <w:rFonts w:eastAsia="仿宋_GB2312"/>
          <w:sz w:val="32"/>
          <w:szCs w:val="20"/>
        </w:rPr>
        <w:t>：</w:t>
      </w:r>
      <w:r>
        <w:rPr>
          <w:rFonts w:hint="eastAsia" w:ascii="仿宋_GB2312" w:hAnsi="仿宋_GB2312" w:eastAsia="仿宋_GB2312" w:cs="仿宋_GB2312"/>
          <w:b/>
          <w:bCs/>
          <w:sz w:val="32"/>
          <w:szCs w:val="20"/>
        </w:rPr>
        <w:t>一是</w:t>
      </w:r>
      <w:r>
        <w:rPr>
          <w:rFonts w:hint="eastAsia" w:ascii="仿宋_GB2312" w:hAnsi="仿宋_GB2312" w:eastAsia="仿宋_GB2312" w:cs="仿宋_GB2312"/>
          <w:sz w:val="32"/>
          <w:szCs w:val="20"/>
        </w:rPr>
        <w:t>用人单位职业病防治管理水平进一步提升。纳入治理的重点行业用人单位职业病危害项目申报率、定期检测率、职业健康检查率、职业卫生培训率以及放射工作人员个人剂量监测率等五项指标均达95%以上，防治主体责任意识进一步增强。</w:t>
      </w:r>
      <w:r>
        <w:rPr>
          <w:rFonts w:hint="eastAsia" w:ascii="仿宋_GB2312" w:hAnsi="仿宋_GB2312" w:eastAsia="仿宋_GB2312" w:cs="仿宋_GB2312"/>
          <w:b/>
          <w:bCs/>
          <w:sz w:val="32"/>
          <w:szCs w:val="20"/>
        </w:rPr>
        <w:t>二是</w:t>
      </w:r>
      <w:r>
        <w:rPr>
          <w:rFonts w:hint="eastAsia" w:ascii="仿宋_GB2312" w:hAnsi="仿宋_GB2312" w:eastAsia="仿宋_GB2312" w:cs="仿宋_GB2312"/>
          <w:sz w:val="32"/>
          <w:szCs w:val="20"/>
        </w:rPr>
        <w:t>监管执法和技术支撑能力进一步提升。我市印发《台山市人民政府办公室关于建立台山市职业病防治工作部门间联席会议制度的通知》（台府构〔2020〕7号）</w:t>
      </w:r>
      <w:r>
        <w:rPr>
          <w:rFonts w:eastAsia="仿宋_GB2312"/>
          <w:sz w:val="32"/>
          <w:szCs w:val="20"/>
        </w:rPr>
        <w:t>，</w:t>
      </w:r>
      <w:r>
        <w:rPr>
          <w:rFonts w:hint="eastAsia" w:ascii="仿宋_GB2312" w:hAnsi="方正小标宋简体" w:eastAsia="仿宋_GB2312"/>
          <w:snapToGrid w:val="0"/>
          <w:kern w:val="0"/>
          <w:sz w:val="32"/>
          <w:szCs w:val="32"/>
        </w:rPr>
        <w:t>建立多部门职业病防治协调机制，明确各职能部门职责分工，</w:t>
      </w:r>
      <w:r>
        <w:rPr>
          <w:rFonts w:ascii="仿宋_GB2312" w:hAnsi="方正小标宋简体" w:eastAsia="仿宋_GB2312"/>
          <w:snapToGrid w:val="0"/>
          <w:kern w:val="0"/>
          <w:sz w:val="32"/>
          <w:szCs w:val="32"/>
        </w:rPr>
        <w:t>各司其职，</w:t>
      </w:r>
      <w:r>
        <w:rPr>
          <w:rFonts w:hint="eastAsia" w:ascii="仿宋_GB2312" w:hAnsi="方正小标宋简体" w:eastAsia="仿宋_GB2312"/>
          <w:snapToGrid w:val="0"/>
          <w:kern w:val="0"/>
          <w:sz w:val="32"/>
          <w:szCs w:val="32"/>
        </w:rPr>
        <w:t>各尽其责，齐抓共管，开展专项督导，持续推进职业病防治工作开展。</w:t>
      </w:r>
      <w:r>
        <w:rPr>
          <w:rFonts w:eastAsia="仿宋_GB2312"/>
          <w:sz w:val="32"/>
          <w:szCs w:val="20"/>
        </w:rPr>
        <w:t>职业健康检查、职业卫生服务、职业病诊断等职业病防治工作机制不断完善。职业健康监管执法力量不断增强，</w:t>
      </w:r>
      <w:r>
        <w:rPr>
          <w:rFonts w:hint="eastAsia" w:eastAsia="仿宋_GB2312"/>
          <w:sz w:val="32"/>
          <w:szCs w:val="20"/>
        </w:rPr>
        <w:t>市卫生监督所根据职能调整增设职业卫生监督股，配备专职执法人员</w:t>
      </w:r>
      <w:r>
        <w:rPr>
          <w:rFonts w:hint="eastAsia" w:ascii="仿宋_GB2312" w:hAnsi="仿宋_GB2312" w:eastAsia="仿宋_GB2312" w:cs="仿宋_GB2312"/>
          <w:sz w:val="32"/>
          <w:szCs w:val="20"/>
        </w:rPr>
        <w:t>。</w:t>
      </w:r>
      <w:r>
        <w:rPr>
          <w:rFonts w:hint="eastAsia" w:ascii="仿宋_GB2312" w:hAnsi="仿宋_GB2312" w:eastAsia="仿宋_GB2312" w:cs="仿宋_GB2312"/>
          <w:b/>
          <w:bCs/>
          <w:sz w:val="32"/>
          <w:szCs w:val="20"/>
        </w:rPr>
        <w:t>三是</w:t>
      </w:r>
      <w:r>
        <w:rPr>
          <w:rFonts w:hint="eastAsia" w:ascii="仿宋_GB2312" w:hAnsi="仿宋_GB2312" w:eastAsia="仿宋_GB2312" w:cs="仿宋_GB2312"/>
          <w:sz w:val="32"/>
          <w:szCs w:val="20"/>
        </w:rPr>
        <w:t>职业病保障水平进一步提升。“十三五”期间，全市工伤保险基金支付职业病相关待遇13.98万元，将符合条件的职业病困难群体纳入社会救助范围，人民</w:t>
      </w:r>
      <w:r>
        <w:rPr>
          <w:rFonts w:eastAsia="仿宋_GB2312"/>
          <w:sz w:val="32"/>
          <w:szCs w:val="20"/>
        </w:rPr>
        <w:t>群众职业健康获得感进一步提高。</w:t>
      </w:r>
    </w:p>
    <w:p>
      <w:pPr>
        <w:widowControl/>
        <w:spacing w:line="560" w:lineRule="exact"/>
        <w:ind w:firstLine="640"/>
        <w:rPr>
          <w:rFonts w:eastAsia="仿宋_GB2312"/>
          <w:sz w:val="32"/>
          <w:szCs w:val="20"/>
        </w:rPr>
      </w:pPr>
      <w:r>
        <w:rPr>
          <w:rFonts w:eastAsia="仿宋_GB2312"/>
          <w:sz w:val="32"/>
          <w:szCs w:val="20"/>
        </w:rPr>
        <w:t>同时，“十四五”期间全市职业病防治工作仍然面临一系列问题和挑战，主要表现在：</w:t>
      </w:r>
      <w:r>
        <w:rPr>
          <w:rFonts w:hint="eastAsia" w:eastAsia="仿宋_GB2312"/>
          <w:b/>
          <w:bCs/>
          <w:sz w:val="32"/>
          <w:szCs w:val="20"/>
        </w:rPr>
        <w:t>一是</w:t>
      </w:r>
      <w:r>
        <w:rPr>
          <w:rFonts w:hint="eastAsia" w:eastAsia="仿宋_GB2312"/>
          <w:sz w:val="32"/>
          <w:szCs w:val="20"/>
        </w:rPr>
        <w:t>全市职业病的偶有发生，职业病预防控制和救治保障工作有待进一步加强。2016—2020年全市上报疑似职业病报告卡26例，发生职业病</w:t>
      </w:r>
      <w:r>
        <w:rPr>
          <w:rFonts w:eastAsia="仿宋_GB2312"/>
          <w:sz w:val="32"/>
          <w:szCs w:val="20"/>
        </w:rPr>
        <w:t>共4例，</w:t>
      </w:r>
      <w:r>
        <w:rPr>
          <w:rFonts w:hint="eastAsia" w:eastAsia="仿宋_GB2312"/>
          <w:sz w:val="32"/>
          <w:szCs w:val="20"/>
        </w:rPr>
        <w:t>其中职业性噪声聋1例占25%，职业性尘肺病1例占25%，</w:t>
      </w:r>
      <w:r>
        <w:rPr>
          <w:rFonts w:eastAsia="仿宋_GB2312"/>
          <w:sz w:val="32"/>
          <w:szCs w:val="20"/>
        </w:rPr>
        <w:t>职业</w:t>
      </w:r>
      <w:r>
        <w:rPr>
          <w:rFonts w:hint="eastAsia" w:eastAsia="仿宋_GB2312"/>
          <w:sz w:val="32"/>
          <w:szCs w:val="20"/>
        </w:rPr>
        <w:t>性热射病2</w:t>
      </w:r>
      <w:r>
        <w:rPr>
          <w:rFonts w:eastAsia="仿宋_GB2312"/>
          <w:sz w:val="32"/>
          <w:szCs w:val="20"/>
        </w:rPr>
        <w:t>例占</w:t>
      </w:r>
      <w:r>
        <w:rPr>
          <w:rFonts w:hint="eastAsia" w:eastAsia="仿宋_GB2312"/>
          <w:sz w:val="32"/>
          <w:szCs w:val="20"/>
        </w:rPr>
        <w:t>50%。职业性噪声聋和职业性化学中毒</w:t>
      </w:r>
      <w:r>
        <w:rPr>
          <w:rFonts w:eastAsia="仿宋_GB2312"/>
          <w:sz w:val="32"/>
          <w:szCs w:val="20"/>
        </w:rPr>
        <w:t>仍为我市主要发生的职业病病种，与我市主要产业行业分布相关。</w:t>
      </w:r>
      <w:r>
        <w:rPr>
          <w:rFonts w:hint="eastAsia" w:eastAsia="仿宋_GB2312"/>
          <w:sz w:val="32"/>
          <w:szCs w:val="20"/>
        </w:rPr>
        <w:t>职业性噪声聋主要分布在金属制品业，职业性化学中毒主要分布在电子制造、化工和制鞋等行业。粉</w:t>
      </w:r>
      <w:r>
        <w:rPr>
          <w:rFonts w:eastAsia="仿宋_GB2312"/>
          <w:sz w:val="32"/>
          <w:szCs w:val="20"/>
        </w:rPr>
        <w:t>尘</w:t>
      </w:r>
      <w:r>
        <w:rPr>
          <w:rFonts w:hint="eastAsia" w:eastAsia="仿宋_GB2312"/>
          <w:sz w:val="32"/>
          <w:szCs w:val="20"/>
        </w:rPr>
        <w:t>、化学</w:t>
      </w:r>
      <w:r>
        <w:rPr>
          <w:rFonts w:eastAsia="仿宋_GB2312"/>
          <w:sz w:val="32"/>
          <w:szCs w:val="20"/>
        </w:rPr>
        <w:t>毒</w:t>
      </w:r>
      <w:r>
        <w:rPr>
          <w:rFonts w:hint="eastAsia" w:eastAsia="仿宋_GB2312"/>
          <w:sz w:val="32"/>
          <w:szCs w:val="20"/>
        </w:rPr>
        <w:t>物</w:t>
      </w:r>
      <w:r>
        <w:rPr>
          <w:rFonts w:eastAsia="仿宋_GB2312"/>
          <w:sz w:val="32"/>
          <w:szCs w:val="20"/>
        </w:rPr>
        <w:t>、噪声等</w:t>
      </w:r>
      <w:r>
        <w:rPr>
          <w:rFonts w:hint="eastAsia" w:eastAsia="仿宋_GB2312"/>
          <w:sz w:val="32"/>
          <w:szCs w:val="20"/>
        </w:rPr>
        <w:t>主要职业病</w:t>
      </w:r>
      <w:r>
        <w:rPr>
          <w:rFonts w:eastAsia="仿宋_GB2312"/>
          <w:sz w:val="32"/>
          <w:szCs w:val="20"/>
        </w:rPr>
        <w:t>危害仍未</w:t>
      </w:r>
      <w:r>
        <w:rPr>
          <w:rFonts w:hint="eastAsia" w:eastAsia="仿宋_GB2312"/>
          <w:sz w:val="32"/>
          <w:szCs w:val="20"/>
        </w:rPr>
        <w:t>得到</w:t>
      </w:r>
      <w:r>
        <w:rPr>
          <w:rFonts w:eastAsia="仿宋_GB2312"/>
          <w:sz w:val="32"/>
          <w:szCs w:val="20"/>
        </w:rPr>
        <w:t>有效</w:t>
      </w:r>
      <w:r>
        <w:rPr>
          <w:rFonts w:hint="eastAsia" w:eastAsia="仿宋_GB2312"/>
          <w:sz w:val="32"/>
          <w:szCs w:val="20"/>
        </w:rPr>
        <w:t>的</w:t>
      </w:r>
      <w:r>
        <w:rPr>
          <w:rFonts w:eastAsia="仿宋_GB2312"/>
          <w:sz w:val="32"/>
          <w:szCs w:val="20"/>
        </w:rPr>
        <w:t>根本治理，小微企业对职业病防治经费投入不足，工人生产操作环境得不到有效改善，新工业新技术新材料应用带来的新职业病风险不断加大，工作相关疾病问题日益显现。</w:t>
      </w:r>
      <w:r>
        <w:rPr>
          <w:rFonts w:eastAsia="仿宋_GB2312"/>
          <w:b/>
          <w:bCs/>
          <w:sz w:val="32"/>
          <w:szCs w:val="20"/>
        </w:rPr>
        <w:t>二是</w:t>
      </w:r>
      <w:r>
        <w:rPr>
          <w:rFonts w:hint="eastAsia" w:eastAsia="仿宋_GB2312"/>
          <w:sz w:val="32"/>
          <w:szCs w:val="20"/>
        </w:rPr>
        <w:t>重点行业</w:t>
      </w:r>
      <w:r>
        <w:rPr>
          <w:rFonts w:eastAsia="仿宋_GB2312"/>
          <w:sz w:val="32"/>
          <w:szCs w:val="20"/>
        </w:rPr>
        <w:t>职业病</w:t>
      </w:r>
      <w:r>
        <w:rPr>
          <w:rFonts w:hint="eastAsia" w:eastAsia="仿宋_GB2312"/>
          <w:sz w:val="32"/>
          <w:szCs w:val="20"/>
        </w:rPr>
        <w:t>危害专项治理</w:t>
      </w:r>
      <w:r>
        <w:rPr>
          <w:rFonts w:eastAsia="仿宋_GB2312"/>
          <w:sz w:val="32"/>
          <w:szCs w:val="20"/>
        </w:rPr>
        <w:t>工作有待加强。</w:t>
      </w:r>
      <w:r>
        <w:rPr>
          <w:rFonts w:hint="eastAsia" w:eastAsia="仿宋_GB2312"/>
          <w:sz w:val="32"/>
          <w:szCs w:val="20"/>
        </w:rPr>
        <w:t>目前</w:t>
      </w:r>
      <w:r>
        <w:rPr>
          <w:rFonts w:eastAsia="仿宋_GB2312"/>
          <w:sz w:val="32"/>
          <w:szCs w:val="20"/>
        </w:rPr>
        <w:t>我市存在职业病危害企业约</w:t>
      </w:r>
      <w:r>
        <w:rPr>
          <w:rFonts w:hint="eastAsia" w:eastAsia="仿宋_GB2312"/>
          <w:sz w:val="32"/>
          <w:szCs w:val="20"/>
        </w:rPr>
        <w:t>1000</w:t>
      </w:r>
      <w:r>
        <w:rPr>
          <w:rFonts w:eastAsia="仿宋_GB2312"/>
          <w:sz w:val="32"/>
          <w:szCs w:val="20"/>
        </w:rPr>
        <w:t>多家，</w:t>
      </w:r>
      <w:r>
        <w:rPr>
          <w:rFonts w:hint="eastAsia" w:eastAsia="仿宋_GB2312"/>
          <w:sz w:val="32"/>
          <w:szCs w:val="20"/>
        </w:rPr>
        <w:t>纳入重点行业的类别有非煤矿山、陶瓷制造、石材加工、人造宝石加工、水泥生产、金属制品加工、电子制造、金属冶炼、化工、制鞋及箱包制造</w:t>
      </w:r>
      <w:r>
        <w:rPr>
          <w:rFonts w:eastAsia="仿宋_GB2312"/>
          <w:sz w:val="32"/>
          <w:szCs w:val="20"/>
        </w:rPr>
        <w:t>、</w:t>
      </w:r>
      <w:r>
        <w:rPr>
          <w:rFonts w:hint="eastAsia" w:eastAsia="仿宋_GB2312"/>
          <w:sz w:val="32"/>
          <w:szCs w:val="20"/>
        </w:rPr>
        <w:t>皮革制品制造、家具制造及其它等12类，重点行业企业共有47家，重点行业接触危害劳动者为4200多人。</w:t>
      </w:r>
      <w:r>
        <w:rPr>
          <w:rFonts w:eastAsia="仿宋_GB2312"/>
          <w:sz w:val="32"/>
          <w:szCs w:val="20"/>
        </w:rPr>
        <w:t>部分地方政府监管责任有漏洞，部分用人单位尤其是中小微企业职业病防治主体责任落实不到位，法治意识不强，管理仍然薄弱。</w:t>
      </w:r>
      <w:r>
        <w:rPr>
          <w:rFonts w:eastAsia="仿宋_GB2312"/>
          <w:b/>
          <w:bCs/>
          <w:sz w:val="32"/>
          <w:szCs w:val="20"/>
        </w:rPr>
        <w:t>三是</w:t>
      </w:r>
      <w:r>
        <w:rPr>
          <w:rFonts w:eastAsia="仿宋_GB2312"/>
          <w:sz w:val="32"/>
          <w:szCs w:val="20"/>
        </w:rPr>
        <w:t>职业病防治技术支撑和技术服务能力还不能适应高质量发展的新要求，职业健康信息化引领支撑作用尚未健全完善，职业健康宣传教育和社会共识水平有待进一步提升。</w:t>
      </w:r>
      <w:r>
        <w:rPr>
          <w:rFonts w:eastAsia="仿宋_GB2312"/>
          <w:b/>
          <w:bCs/>
          <w:sz w:val="32"/>
          <w:szCs w:val="20"/>
        </w:rPr>
        <w:t>四是</w:t>
      </w:r>
      <w:r>
        <w:rPr>
          <w:rFonts w:eastAsia="仿宋_GB2312"/>
          <w:sz w:val="32"/>
          <w:szCs w:val="20"/>
        </w:rPr>
        <w:t>各级职业健康监管执法力量与众多危害企业、繁重防治任务不相匹配，管理方式方法有待进一步改进，执法力度有待进一步加大，风险管控有待进一步加强。</w:t>
      </w:r>
    </w:p>
    <w:p>
      <w:pPr>
        <w:spacing w:line="560" w:lineRule="exact"/>
        <w:outlineLvl w:val="0"/>
        <w:rPr>
          <w:rFonts w:eastAsia="仿宋_GB2312"/>
          <w:sz w:val="32"/>
          <w:szCs w:val="20"/>
        </w:rPr>
      </w:pPr>
      <w:r>
        <w:rPr>
          <w:rFonts w:eastAsia="黑体"/>
          <w:sz w:val="32"/>
          <w:szCs w:val="20"/>
        </w:rPr>
        <w:t xml:space="preserve">    二、总体要求</w:t>
      </w:r>
    </w:p>
    <w:p>
      <w:pPr>
        <w:widowControl/>
        <w:spacing w:line="560" w:lineRule="exact"/>
        <w:outlineLvl w:val="1"/>
        <w:rPr>
          <w:rFonts w:eastAsia="仿宋_GB2312"/>
          <w:sz w:val="32"/>
          <w:szCs w:val="20"/>
        </w:rPr>
      </w:pPr>
      <w:r>
        <w:rPr>
          <w:rFonts w:eastAsia="仿宋_GB2312"/>
          <w:sz w:val="32"/>
          <w:szCs w:val="20"/>
        </w:rPr>
        <w:t xml:space="preserve">    </w:t>
      </w:r>
      <w:r>
        <w:rPr>
          <w:rFonts w:hint="eastAsia" w:ascii="楷体" w:hAnsi="楷体" w:eastAsia="楷体" w:cs="楷体"/>
          <w:sz w:val="32"/>
          <w:szCs w:val="20"/>
        </w:rPr>
        <w:t>（一）指导思想。</w:t>
      </w:r>
    </w:p>
    <w:p>
      <w:pPr>
        <w:widowControl/>
        <w:spacing w:line="560" w:lineRule="exact"/>
        <w:rPr>
          <w:rFonts w:eastAsia="仿宋_GB2312"/>
          <w:sz w:val="32"/>
          <w:szCs w:val="20"/>
        </w:rPr>
      </w:pPr>
      <w:r>
        <w:rPr>
          <w:rFonts w:eastAsia="仿宋_GB2312"/>
          <w:sz w:val="32"/>
          <w:szCs w:val="20"/>
        </w:rPr>
        <w:t xml:space="preserve">    以习近平新时代中国特色社会主义思想为指导，全面贯彻</w:t>
      </w:r>
      <w:bookmarkStart w:id="0" w:name="_GoBack"/>
      <w:bookmarkEnd w:id="0"/>
      <w:r>
        <w:rPr>
          <w:rFonts w:eastAsia="仿宋_GB2312"/>
          <w:sz w:val="32"/>
          <w:szCs w:val="20"/>
        </w:rPr>
        <w:t>党的</w:t>
      </w:r>
      <w:r>
        <w:rPr>
          <w:rFonts w:hint="eastAsia" w:eastAsia="仿宋_GB2312"/>
          <w:sz w:val="32"/>
          <w:szCs w:val="20"/>
        </w:rPr>
        <w:t>二十大</w:t>
      </w:r>
      <w:r>
        <w:rPr>
          <w:rFonts w:eastAsia="仿宋_GB2312"/>
          <w:sz w:val="32"/>
          <w:szCs w:val="20"/>
        </w:rPr>
        <w:t>精神，坚持以人民为中心的发展思想，以全职业人群、全工作周期职业健康为出发点，深入实施职业健康保护行动，</w:t>
      </w:r>
      <w:r>
        <w:rPr>
          <w:rFonts w:hint="eastAsia" w:eastAsia="仿宋_GB2312"/>
          <w:sz w:val="32"/>
          <w:szCs w:val="20"/>
        </w:rPr>
        <w:t>以问题为导向，</w:t>
      </w:r>
      <w:r>
        <w:rPr>
          <w:rFonts w:eastAsia="仿宋_GB2312"/>
          <w:sz w:val="32"/>
          <w:szCs w:val="20"/>
        </w:rPr>
        <w:t>落实我市《关于进一步加强职业病防治工作方案》，</w:t>
      </w:r>
      <w:r>
        <w:rPr>
          <w:rFonts w:hint="eastAsia" w:eastAsia="仿宋_GB2312"/>
          <w:sz w:val="32"/>
          <w:szCs w:val="20"/>
        </w:rPr>
        <w:t>坚持</w:t>
      </w:r>
      <w:r>
        <w:rPr>
          <w:rFonts w:eastAsia="仿宋_GB2312"/>
          <w:sz w:val="32"/>
          <w:szCs w:val="20"/>
        </w:rPr>
        <w:t>“防、治、管、教、建”五字策略，强化政府、部门、用人单位三方责任，进一步加强宣传教育，夯实职业健康工作基础，推进职业健康治理体系和治理能力建设，全面提升职业健康工作质量和水平，推进健康中国、健康广东和健康江门建设。</w:t>
      </w:r>
    </w:p>
    <w:p>
      <w:pPr>
        <w:widowControl/>
        <w:spacing w:line="560" w:lineRule="exact"/>
        <w:outlineLvl w:val="1"/>
        <w:rPr>
          <w:rFonts w:ascii="楷体" w:hAnsi="楷体" w:eastAsia="楷体" w:cs="楷体"/>
          <w:sz w:val="32"/>
          <w:szCs w:val="20"/>
        </w:rPr>
      </w:pPr>
      <w:r>
        <w:rPr>
          <w:rFonts w:eastAsia="楷体_GB2312"/>
          <w:sz w:val="32"/>
          <w:szCs w:val="20"/>
        </w:rPr>
        <w:t xml:space="preserve">   </w:t>
      </w:r>
      <w:r>
        <w:rPr>
          <w:rFonts w:hint="eastAsia" w:ascii="楷体" w:hAnsi="楷体" w:eastAsia="楷体" w:cs="楷体"/>
          <w:sz w:val="32"/>
          <w:szCs w:val="20"/>
        </w:rPr>
        <w:t xml:space="preserve"> （二）基本原则。</w:t>
      </w:r>
    </w:p>
    <w:p>
      <w:pPr>
        <w:widowControl/>
        <w:spacing w:line="560" w:lineRule="exact"/>
        <w:rPr>
          <w:rFonts w:eastAsia="仿宋_GB2312"/>
          <w:spacing w:val="-6"/>
          <w:sz w:val="32"/>
          <w:szCs w:val="20"/>
        </w:rPr>
      </w:pPr>
      <w:r>
        <w:rPr>
          <w:rFonts w:eastAsia="仿宋_GB2312"/>
          <w:sz w:val="32"/>
          <w:szCs w:val="20"/>
        </w:rPr>
        <w:t xml:space="preserve">    </w:t>
      </w:r>
      <w:r>
        <w:rPr>
          <w:rFonts w:eastAsia="仿宋_GB2312"/>
          <w:spacing w:val="-6"/>
          <w:sz w:val="32"/>
          <w:szCs w:val="20"/>
        </w:rPr>
        <w:t>坚持预防为主，防治结合。强化职业病危害源头防控，督促和引导用人单位采取工程技术、个人防护和管理等措施，不断改善工作场所劳动条件和作业环境。建立健全职业病防治技术支撑体系，提升卫生工程防护、风险监测评估、诊断救治能力。</w:t>
      </w:r>
    </w:p>
    <w:p>
      <w:pPr>
        <w:widowControl/>
        <w:spacing w:line="560" w:lineRule="exact"/>
        <w:rPr>
          <w:rFonts w:eastAsia="仿宋_GB2312"/>
          <w:sz w:val="32"/>
          <w:szCs w:val="20"/>
        </w:rPr>
      </w:pPr>
      <w:r>
        <w:rPr>
          <w:rFonts w:eastAsia="仿宋_GB2312"/>
          <w:sz w:val="32"/>
          <w:szCs w:val="20"/>
        </w:rPr>
        <w:t xml:space="preserve">    坚持突出重点，精准防控。聚焦职业病危害严重的行业领域，深化尘肺病防治攻坚行动，持续推进粉尘、毒物、噪声和辐射等危害治理，强化职业病危害因素监测和风险评估，实现精准防控。</w:t>
      </w:r>
    </w:p>
    <w:p>
      <w:pPr>
        <w:widowControl/>
        <w:spacing w:line="560" w:lineRule="exact"/>
        <w:rPr>
          <w:rFonts w:eastAsia="仿宋_GB2312"/>
          <w:sz w:val="32"/>
          <w:szCs w:val="20"/>
        </w:rPr>
      </w:pPr>
      <w:r>
        <w:rPr>
          <w:rFonts w:eastAsia="仿宋_GB2312"/>
          <w:sz w:val="32"/>
          <w:szCs w:val="20"/>
        </w:rPr>
        <w:t xml:space="preserve">    坚持改革创新，综合施策。坚持从以治病为中心向以劳动者健康为中心转变，深化传统职业病防控，逐步开展工作相关疾病预防，推进职业人群健康促进，综合运用法律、行政、经济、信用等政策工具，构建职业健康工作新格局。</w:t>
      </w:r>
    </w:p>
    <w:p>
      <w:pPr>
        <w:widowControl/>
        <w:spacing w:line="560" w:lineRule="exact"/>
        <w:rPr>
          <w:rFonts w:eastAsia="仿宋_GB2312"/>
          <w:sz w:val="32"/>
          <w:szCs w:val="20"/>
        </w:rPr>
      </w:pPr>
      <w:r>
        <w:rPr>
          <w:rFonts w:eastAsia="仿宋_GB2312"/>
          <w:sz w:val="32"/>
          <w:szCs w:val="20"/>
        </w:rPr>
        <w:t xml:space="preserve">    坚持依法防治，落实责任。完善职业健康法律法规和标准规范，加强监管队伍建设，提升监管执法能力。坚持约束和激励并重，落实地方政府领导责任、部门监管责任、用人单位主体责任，合力推进职业健康工作。</w:t>
      </w:r>
    </w:p>
    <w:p>
      <w:pPr>
        <w:widowControl/>
        <w:spacing w:line="560" w:lineRule="exact"/>
        <w:outlineLvl w:val="1"/>
        <w:rPr>
          <w:rFonts w:eastAsia="仿宋_GB2312"/>
          <w:sz w:val="32"/>
          <w:szCs w:val="20"/>
        </w:rPr>
      </w:pPr>
      <w:r>
        <w:rPr>
          <w:rFonts w:eastAsia="仿宋_GB2312"/>
          <w:sz w:val="32"/>
          <w:szCs w:val="20"/>
        </w:rPr>
        <w:t xml:space="preserve">   </w:t>
      </w:r>
      <w:r>
        <w:rPr>
          <w:rFonts w:hint="eastAsia" w:ascii="楷体" w:hAnsi="楷体" w:eastAsia="楷体" w:cs="楷体"/>
          <w:sz w:val="32"/>
          <w:szCs w:val="20"/>
        </w:rPr>
        <w:t xml:space="preserve"> （三）规划目标。</w:t>
      </w:r>
    </w:p>
    <w:p>
      <w:pPr>
        <w:widowControl/>
        <w:spacing w:line="560" w:lineRule="exact"/>
        <w:ind w:firstLine="640"/>
        <w:rPr>
          <w:rFonts w:eastAsia="仿宋_GB2312"/>
          <w:sz w:val="32"/>
          <w:szCs w:val="20"/>
        </w:rPr>
      </w:pPr>
      <w:r>
        <w:rPr>
          <w:rFonts w:hint="eastAsia" w:ascii="仿宋_GB2312" w:hAnsi="仿宋_GB2312" w:eastAsia="仿宋_GB2312" w:cs="仿宋_GB2312"/>
          <w:sz w:val="32"/>
          <w:szCs w:val="20"/>
        </w:rPr>
        <w:t>到2025年，职业健康治理体系更加完善，治理能力显著增强，劳动者健康水平进</w:t>
      </w:r>
      <w:r>
        <w:rPr>
          <w:rFonts w:eastAsia="仿宋_GB2312"/>
          <w:sz w:val="32"/>
          <w:szCs w:val="20"/>
        </w:rPr>
        <w:t>一步提高。职业病危害状况明显好转，工作场所劳动条件和作业环境显著改善，劳动用工和劳动工时管理进一步规范，尘肺病等重点职业病得到有效防控，职业健康监管体系基本完善，服务能力和保障水平不断提升，全社会职业健康意识显著增强，与经济社会高质量发展要求相适应的职业病防治监管和技术支撑体系基本形成。</w:t>
      </w:r>
    </w:p>
    <w:p>
      <w:pPr>
        <w:spacing w:line="5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 xml:space="preserve"> </w:t>
      </w:r>
    </w:p>
    <w:p>
      <w:pPr>
        <w:spacing w:line="560" w:lineRule="exact"/>
        <w:jc w:val="center"/>
        <w:rPr>
          <w:rFonts w:ascii="方正小标宋简体" w:hAnsi="方正小标宋简体" w:eastAsia="方正小标宋简体" w:cs="方正小标宋简体"/>
          <w:bCs/>
          <w:sz w:val="32"/>
          <w:szCs w:val="32"/>
        </w:rPr>
      </w:pPr>
    </w:p>
    <w:p>
      <w:pPr>
        <w:spacing w:line="5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“十四五”职业病防治指标与目标</w:t>
      </w:r>
    </w:p>
    <w:tbl>
      <w:tblPr>
        <w:tblStyle w:val="11"/>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704"/>
        <w:gridCol w:w="2558"/>
        <w:gridCol w:w="1559"/>
        <w:gridCol w:w="1405"/>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3420" w:type="dxa"/>
            <w:gridSpan w:val="2"/>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指标名称</w:t>
            </w:r>
          </w:p>
        </w:tc>
        <w:tc>
          <w:tcPr>
            <w:tcW w:w="2558"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台山市2020年值</w:t>
            </w:r>
          </w:p>
        </w:tc>
        <w:tc>
          <w:tcPr>
            <w:tcW w:w="1559"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江门市2020年值</w:t>
            </w:r>
          </w:p>
        </w:tc>
        <w:tc>
          <w:tcPr>
            <w:tcW w:w="1405"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“十四五”规划目标值</w:t>
            </w:r>
          </w:p>
        </w:tc>
        <w:tc>
          <w:tcPr>
            <w:tcW w:w="1254"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目标值</w:t>
            </w:r>
          </w:p>
          <w:p>
            <w:pPr>
              <w:jc w:val="center"/>
              <w:rPr>
                <w:rFonts w:ascii="黑体" w:hAnsi="黑体" w:eastAsia="黑体" w:cs="黑体"/>
                <w:kern w:val="0"/>
                <w:sz w:val="24"/>
                <w:szCs w:val="20"/>
              </w:rPr>
            </w:pPr>
            <w:r>
              <w:rPr>
                <w:rFonts w:hint="eastAsia" w:ascii="黑体" w:hAnsi="黑体" w:eastAsia="黑体" w:cs="黑体"/>
                <w:kern w:val="0"/>
                <w:sz w:val="24"/>
                <w:szCs w:val="20"/>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1</w:t>
            </w:r>
          </w:p>
        </w:tc>
        <w:tc>
          <w:tcPr>
            <w:tcW w:w="2704" w:type="dxa"/>
            <w:vAlign w:val="center"/>
          </w:tcPr>
          <w:p>
            <w:pPr>
              <w:jc w:val="left"/>
              <w:rPr>
                <w:rFonts w:ascii="仿宋_GB2312" w:eastAsia="仿宋_GB2312"/>
                <w:kern w:val="0"/>
                <w:sz w:val="24"/>
                <w:szCs w:val="20"/>
              </w:rPr>
            </w:pPr>
            <w:r>
              <w:rPr>
                <w:rFonts w:hint="eastAsia" w:ascii="仿宋_GB2312" w:eastAsia="仿宋_GB2312"/>
                <w:kern w:val="0"/>
                <w:sz w:val="24"/>
                <w:szCs w:val="20"/>
              </w:rPr>
              <w:t>工伤保险参保人员</w:t>
            </w:r>
          </w:p>
        </w:tc>
        <w:tc>
          <w:tcPr>
            <w:tcW w:w="2558" w:type="dxa"/>
            <w:vAlign w:val="center"/>
          </w:tcPr>
          <w:p>
            <w:pPr>
              <w:jc w:val="center"/>
              <w:rPr>
                <w:rFonts w:ascii="仿宋_GB2312" w:eastAsia="仿宋_GB2312"/>
                <w:kern w:val="0"/>
                <w:sz w:val="24"/>
                <w:szCs w:val="20"/>
              </w:rPr>
            </w:pPr>
            <w:r>
              <w:rPr>
                <w:rFonts w:hint="eastAsia" w:ascii="仿宋_GB2312" w:eastAsia="仿宋_GB2312"/>
                <w:kern w:val="0"/>
                <w:sz w:val="24"/>
                <w:szCs w:val="20"/>
              </w:rPr>
              <w:t>11.29</w:t>
            </w:r>
          </w:p>
        </w:tc>
        <w:tc>
          <w:tcPr>
            <w:tcW w:w="1559" w:type="dxa"/>
            <w:vAlign w:val="center"/>
          </w:tcPr>
          <w:p>
            <w:pPr>
              <w:spacing w:line="500" w:lineRule="exact"/>
              <w:jc w:val="center"/>
              <w:rPr>
                <w:rFonts w:ascii="仿宋_GB2312" w:eastAsia="仿宋_GB2312"/>
                <w:kern w:val="0"/>
                <w:sz w:val="24"/>
                <w:szCs w:val="20"/>
              </w:rPr>
            </w:pPr>
            <w:r>
              <w:rPr>
                <w:rFonts w:hint="eastAsia" w:ascii="仿宋_GB2312" w:eastAsia="仿宋_GB2312"/>
                <w:kern w:val="0"/>
                <w:sz w:val="24"/>
                <w:szCs w:val="20"/>
              </w:rPr>
              <w:t>109.29万人</w:t>
            </w:r>
          </w:p>
        </w:tc>
        <w:tc>
          <w:tcPr>
            <w:tcW w:w="1405" w:type="dxa"/>
            <w:vAlign w:val="center"/>
          </w:tcPr>
          <w:p>
            <w:pPr>
              <w:spacing w:line="500" w:lineRule="exact"/>
              <w:jc w:val="center"/>
              <w:rPr>
                <w:rFonts w:ascii="仿宋_GB2312" w:eastAsia="仿宋_GB2312"/>
                <w:kern w:val="0"/>
                <w:sz w:val="24"/>
                <w:szCs w:val="20"/>
              </w:rPr>
            </w:pPr>
            <w:r>
              <w:rPr>
                <w:rFonts w:eastAsia="仿宋_GB2312"/>
                <w:kern w:val="0"/>
                <w:sz w:val="24"/>
                <w:szCs w:val="20"/>
              </w:rPr>
              <w:t>稳步提升</w:t>
            </w:r>
          </w:p>
        </w:tc>
        <w:tc>
          <w:tcPr>
            <w:tcW w:w="1254" w:type="dxa"/>
            <w:vAlign w:val="center"/>
          </w:tcPr>
          <w:p>
            <w:pPr>
              <w:spacing w:line="500" w:lineRule="exact"/>
              <w:jc w:val="center"/>
              <w:rPr>
                <w:rFonts w:eastAsia="仿宋_GB2312"/>
                <w:kern w:val="0"/>
                <w:sz w:val="24"/>
                <w:szCs w:val="20"/>
              </w:rPr>
            </w:pPr>
            <w:r>
              <w:rPr>
                <w:rFonts w:hint="eastAsia" w:ascii="黑体" w:hAnsi="黑体" w:eastAsia="黑体" w:cs="黑体"/>
                <w:kern w:val="0"/>
                <w:sz w:val="24"/>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2</w:t>
            </w:r>
          </w:p>
        </w:tc>
        <w:tc>
          <w:tcPr>
            <w:tcW w:w="2704" w:type="dxa"/>
            <w:vAlign w:val="center"/>
          </w:tcPr>
          <w:p>
            <w:pPr>
              <w:jc w:val="left"/>
              <w:rPr>
                <w:rFonts w:ascii="仿宋_GB2312" w:eastAsia="仿宋_GB2312"/>
                <w:kern w:val="0"/>
                <w:sz w:val="24"/>
                <w:szCs w:val="20"/>
              </w:rPr>
            </w:pPr>
            <w:r>
              <w:rPr>
                <w:rFonts w:hint="eastAsia" w:ascii="仿宋_GB2312" w:eastAsia="仿宋_GB2312"/>
                <w:kern w:val="0"/>
                <w:sz w:val="24"/>
                <w:szCs w:val="20"/>
              </w:rPr>
              <w:t>工业企业职业病危害项目申报率</w:t>
            </w:r>
          </w:p>
        </w:tc>
        <w:tc>
          <w:tcPr>
            <w:tcW w:w="2558" w:type="dxa"/>
            <w:vAlign w:val="center"/>
          </w:tcPr>
          <w:p>
            <w:pPr>
              <w:ind w:firstLine="720" w:firstLineChars="300"/>
              <w:rPr>
                <w:rFonts w:ascii="仿宋_GB2312" w:eastAsia="仿宋_GB2312"/>
                <w:kern w:val="0"/>
                <w:sz w:val="24"/>
                <w:szCs w:val="20"/>
              </w:rPr>
            </w:pPr>
            <w:r>
              <w:rPr>
                <w:rFonts w:hint="eastAsia" w:ascii="仿宋_GB2312" w:eastAsia="仿宋_GB2312"/>
                <w:kern w:val="0"/>
                <w:sz w:val="24"/>
                <w:szCs w:val="20"/>
              </w:rPr>
              <w:t>20.06%</w:t>
            </w:r>
          </w:p>
        </w:tc>
        <w:tc>
          <w:tcPr>
            <w:tcW w:w="1559" w:type="dxa"/>
            <w:vAlign w:val="center"/>
          </w:tcPr>
          <w:p>
            <w:pPr>
              <w:jc w:val="center"/>
              <w:rPr>
                <w:rFonts w:ascii="仿宋_GB2312" w:eastAsia="仿宋_GB2312"/>
                <w:kern w:val="0"/>
                <w:sz w:val="24"/>
                <w:szCs w:val="20"/>
              </w:rPr>
            </w:pPr>
            <w:r>
              <w:rPr>
                <w:rFonts w:hint="eastAsia" w:ascii="仿宋_GB2312" w:eastAsia="仿宋_GB2312"/>
                <w:kern w:val="0"/>
                <w:sz w:val="24"/>
                <w:szCs w:val="20"/>
              </w:rPr>
              <w:t>10.34</w:t>
            </w:r>
          </w:p>
        </w:tc>
        <w:tc>
          <w:tcPr>
            <w:tcW w:w="1405" w:type="dxa"/>
            <w:vAlign w:val="center"/>
          </w:tcPr>
          <w:p>
            <w:pPr>
              <w:jc w:val="center"/>
              <w:rPr>
                <w:rFonts w:ascii="仿宋_GB2312" w:eastAsia="仿宋_GB2312"/>
                <w:kern w:val="0"/>
                <w:sz w:val="24"/>
                <w:szCs w:val="20"/>
              </w:rPr>
            </w:pPr>
            <w:r>
              <w:rPr>
                <w:rFonts w:hint="eastAsia" w:ascii="仿宋_GB2312" w:eastAsia="仿宋_GB2312"/>
                <w:kern w:val="0"/>
                <w:sz w:val="24"/>
                <w:szCs w:val="20"/>
              </w:rPr>
              <w:t>≥90%</w:t>
            </w:r>
          </w:p>
        </w:tc>
        <w:tc>
          <w:tcPr>
            <w:tcW w:w="1254" w:type="dxa"/>
            <w:vAlign w:val="center"/>
          </w:tcPr>
          <w:p>
            <w:pPr>
              <w:jc w:val="center"/>
              <w:rPr>
                <w:rFonts w:ascii="仿宋_GB2312" w:eastAsia="仿宋_GB2312"/>
                <w:kern w:val="0"/>
                <w:sz w:val="24"/>
                <w:szCs w:val="20"/>
              </w:rPr>
            </w:pPr>
            <w:r>
              <w:rPr>
                <w:rFonts w:hint="eastAsia" w:ascii="黑体" w:hAnsi="黑体" w:eastAsia="黑体" w:cs="黑体"/>
                <w:kern w:val="0"/>
                <w:sz w:val="24"/>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3</w:t>
            </w:r>
          </w:p>
        </w:tc>
        <w:tc>
          <w:tcPr>
            <w:tcW w:w="2704" w:type="dxa"/>
            <w:vAlign w:val="center"/>
          </w:tcPr>
          <w:p>
            <w:pPr>
              <w:jc w:val="left"/>
              <w:rPr>
                <w:rFonts w:ascii="仿宋_GB2312" w:eastAsia="仿宋_GB2312"/>
                <w:kern w:val="0"/>
                <w:sz w:val="24"/>
                <w:szCs w:val="20"/>
              </w:rPr>
            </w:pPr>
            <w:r>
              <w:rPr>
                <w:rFonts w:hint="eastAsia" w:ascii="仿宋_GB2312" w:eastAsia="仿宋_GB2312"/>
                <w:kern w:val="0"/>
                <w:sz w:val="24"/>
                <w:szCs w:val="20"/>
              </w:rPr>
              <w:t>工作场所职业病危害因素监测合格率</w:t>
            </w:r>
          </w:p>
        </w:tc>
        <w:tc>
          <w:tcPr>
            <w:tcW w:w="2558" w:type="dxa"/>
            <w:vAlign w:val="center"/>
          </w:tcPr>
          <w:p>
            <w:pPr>
              <w:jc w:val="center"/>
              <w:rPr>
                <w:rFonts w:ascii="仿宋_GB2312" w:hAnsi="Calibri" w:eastAsia="仿宋_GB2312"/>
                <w:kern w:val="0"/>
                <w:sz w:val="24"/>
                <w:szCs w:val="20"/>
              </w:rPr>
            </w:pPr>
            <w:r>
              <w:rPr>
                <w:rFonts w:hint="eastAsia" w:ascii="仿宋_GB2312" w:eastAsia="仿宋_GB2312"/>
                <w:kern w:val="0"/>
                <w:sz w:val="24"/>
                <w:szCs w:val="20"/>
              </w:rPr>
              <w:t>重点行业职业病危害定期检测率为99%</w:t>
            </w:r>
          </w:p>
        </w:tc>
        <w:tc>
          <w:tcPr>
            <w:tcW w:w="1559" w:type="dxa"/>
            <w:vAlign w:val="center"/>
          </w:tcPr>
          <w:p>
            <w:pPr>
              <w:jc w:val="center"/>
              <w:rPr>
                <w:rFonts w:ascii="仿宋_GB2312" w:eastAsia="仿宋_GB2312"/>
                <w:kern w:val="0"/>
                <w:sz w:val="24"/>
                <w:szCs w:val="20"/>
              </w:rPr>
            </w:pPr>
            <w:r>
              <w:rPr>
                <w:rFonts w:hint="eastAsia" w:ascii="仿宋_GB2312" w:eastAsia="仿宋_GB2312"/>
                <w:kern w:val="0"/>
                <w:sz w:val="24"/>
                <w:szCs w:val="20"/>
              </w:rPr>
              <w:t>重点行业职业病危害定期检测率为99%</w:t>
            </w:r>
          </w:p>
        </w:tc>
        <w:tc>
          <w:tcPr>
            <w:tcW w:w="1405" w:type="dxa"/>
            <w:vAlign w:val="center"/>
          </w:tcPr>
          <w:p>
            <w:pPr>
              <w:jc w:val="center"/>
              <w:rPr>
                <w:rFonts w:ascii="仿宋_GB2312" w:eastAsia="仿宋_GB2312"/>
                <w:kern w:val="0"/>
                <w:sz w:val="24"/>
                <w:szCs w:val="20"/>
              </w:rPr>
            </w:pPr>
            <w:r>
              <w:rPr>
                <w:rFonts w:hint="eastAsia" w:ascii="仿宋_GB2312" w:eastAsia="仿宋_GB2312"/>
                <w:kern w:val="0"/>
                <w:sz w:val="24"/>
                <w:szCs w:val="20"/>
              </w:rPr>
              <w:t>≥85%</w:t>
            </w:r>
          </w:p>
        </w:tc>
        <w:tc>
          <w:tcPr>
            <w:tcW w:w="1254" w:type="dxa"/>
            <w:vAlign w:val="center"/>
          </w:tcPr>
          <w:p>
            <w:pPr>
              <w:jc w:val="center"/>
              <w:rPr>
                <w:rFonts w:ascii="仿宋_GB2312" w:eastAsia="仿宋_GB2312"/>
                <w:kern w:val="0"/>
                <w:sz w:val="24"/>
                <w:szCs w:val="20"/>
              </w:rPr>
            </w:pPr>
            <w:r>
              <w:rPr>
                <w:rFonts w:hint="eastAsia" w:ascii="黑体" w:hAnsi="黑体" w:eastAsia="黑体" w:cs="黑体"/>
                <w:kern w:val="0"/>
                <w:sz w:val="24"/>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4</w:t>
            </w:r>
          </w:p>
        </w:tc>
        <w:tc>
          <w:tcPr>
            <w:tcW w:w="2704" w:type="dxa"/>
            <w:vAlign w:val="center"/>
          </w:tcPr>
          <w:p>
            <w:pPr>
              <w:jc w:val="left"/>
              <w:rPr>
                <w:rFonts w:ascii="仿宋_GB2312" w:eastAsia="仿宋_GB2312"/>
                <w:kern w:val="0"/>
                <w:sz w:val="24"/>
                <w:szCs w:val="20"/>
              </w:rPr>
            </w:pPr>
            <w:r>
              <w:rPr>
                <w:rFonts w:hint="eastAsia" w:ascii="仿宋_GB2312" w:eastAsia="仿宋_GB2312"/>
                <w:kern w:val="0"/>
                <w:sz w:val="24"/>
                <w:szCs w:val="20"/>
              </w:rPr>
              <w:t>非医疗放射工作人员个人剂量监测率</w:t>
            </w:r>
          </w:p>
        </w:tc>
        <w:tc>
          <w:tcPr>
            <w:tcW w:w="2558" w:type="dxa"/>
            <w:vAlign w:val="center"/>
          </w:tcPr>
          <w:p>
            <w:pPr>
              <w:jc w:val="center"/>
              <w:rPr>
                <w:rFonts w:ascii="仿宋_GB2312" w:eastAsia="仿宋_GB2312"/>
                <w:kern w:val="0"/>
                <w:sz w:val="24"/>
                <w:szCs w:val="20"/>
              </w:rPr>
            </w:pPr>
            <w:r>
              <w:rPr>
                <w:rFonts w:hint="eastAsia" w:ascii="仿宋_GB2312" w:eastAsia="仿宋_GB2312"/>
                <w:kern w:val="0"/>
                <w:sz w:val="24"/>
                <w:szCs w:val="20"/>
              </w:rPr>
              <w:t>/</w:t>
            </w:r>
          </w:p>
        </w:tc>
        <w:tc>
          <w:tcPr>
            <w:tcW w:w="1559" w:type="dxa"/>
            <w:vAlign w:val="center"/>
          </w:tcPr>
          <w:p>
            <w:pPr>
              <w:jc w:val="center"/>
              <w:rPr>
                <w:rFonts w:ascii="仿宋_GB2312" w:eastAsia="仿宋_GB2312"/>
                <w:kern w:val="0"/>
                <w:sz w:val="24"/>
                <w:szCs w:val="20"/>
              </w:rPr>
            </w:pPr>
            <w:r>
              <w:rPr>
                <w:rFonts w:hint="eastAsia" w:ascii="仿宋_GB2312" w:eastAsia="仿宋_GB2312"/>
                <w:kern w:val="0"/>
                <w:sz w:val="24"/>
                <w:szCs w:val="20"/>
              </w:rPr>
              <w:t>/</w:t>
            </w:r>
          </w:p>
        </w:tc>
        <w:tc>
          <w:tcPr>
            <w:tcW w:w="1405" w:type="dxa"/>
            <w:vAlign w:val="center"/>
          </w:tcPr>
          <w:p>
            <w:pPr>
              <w:jc w:val="center"/>
              <w:rPr>
                <w:rFonts w:ascii="仿宋_GB2312" w:eastAsia="仿宋_GB2312"/>
                <w:kern w:val="0"/>
                <w:sz w:val="24"/>
                <w:szCs w:val="20"/>
              </w:rPr>
            </w:pPr>
            <w:r>
              <w:rPr>
                <w:rFonts w:hint="eastAsia" w:ascii="仿宋_GB2312" w:eastAsia="仿宋_GB2312"/>
                <w:kern w:val="0"/>
                <w:sz w:val="24"/>
                <w:szCs w:val="20"/>
              </w:rPr>
              <w:t>≥90%</w:t>
            </w:r>
          </w:p>
        </w:tc>
        <w:tc>
          <w:tcPr>
            <w:tcW w:w="1254" w:type="dxa"/>
            <w:vAlign w:val="center"/>
          </w:tcPr>
          <w:p>
            <w:pPr>
              <w:jc w:val="center"/>
              <w:rPr>
                <w:rFonts w:ascii="仿宋_GB2312" w:eastAsia="仿宋_GB2312"/>
                <w:kern w:val="0"/>
                <w:sz w:val="24"/>
                <w:szCs w:val="20"/>
              </w:rPr>
            </w:pPr>
            <w:r>
              <w:rPr>
                <w:rFonts w:hint="eastAsia" w:ascii="黑体" w:hAnsi="黑体" w:eastAsia="黑体" w:cs="黑体"/>
                <w:kern w:val="0"/>
                <w:sz w:val="24"/>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5</w:t>
            </w:r>
          </w:p>
        </w:tc>
        <w:tc>
          <w:tcPr>
            <w:tcW w:w="2704" w:type="dxa"/>
            <w:vAlign w:val="center"/>
          </w:tcPr>
          <w:p>
            <w:pPr>
              <w:jc w:val="left"/>
              <w:rPr>
                <w:rFonts w:ascii="仿宋_GB2312" w:eastAsia="仿宋_GB2312"/>
                <w:kern w:val="0"/>
                <w:sz w:val="24"/>
                <w:szCs w:val="20"/>
              </w:rPr>
            </w:pPr>
            <w:r>
              <w:rPr>
                <w:rFonts w:hint="eastAsia" w:ascii="仿宋_GB2312" w:eastAsia="仿宋_GB2312"/>
                <w:kern w:val="0"/>
                <w:sz w:val="24"/>
                <w:szCs w:val="20"/>
              </w:rPr>
              <w:t>重点人群职业健康知识知晓率</w:t>
            </w:r>
          </w:p>
        </w:tc>
        <w:tc>
          <w:tcPr>
            <w:tcW w:w="2558" w:type="dxa"/>
            <w:vAlign w:val="center"/>
          </w:tcPr>
          <w:p>
            <w:pPr>
              <w:jc w:val="center"/>
              <w:rPr>
                <w:rFonts w:ascii="仿宋_GB2312" w:eastAsia="仿宋_GB2312"/>
                <w:kern w:val="0"/>
                <w:sz w:val="24"/>
                <w:szCs w:val="20"/>
              </w:rPr>
            </w:pPr>
            <w:r>
              <w:rPr>
                <w:rFonts w:hint="eastAsia" w:ascii="仿宋_GB2312" w:eastAsia="仿宋_GB2312"/>
                <w:kern w:val="0"/>
                <w:sz w:val="24"/>
                <w:szCs w:val="20"/>
              </w:rPr>
              <w:t>/</w:t>
            </w:r>
          </w:p>
        </w:tc>
        <w:tc>
          <w:tcPr>
            <w:tcW w:w="1559" w:type="dxa"/>
            <w:vAlign w:val="center"/>
          </w:tcPr>
          <w:p>
            <w:pPr>
              <w:jc w:val="center"/>
              <w:rPr>
                <w:rFonts w:ascii="仿宋_GB2312" w:eastAsia="仿宋_GB2312"/>
                <w:kern w:val="0"/>
                <w:sz w:val="24"/>
                <w:szCs w:val="20"/>
              </w:rPr>
            </w:pPr>
            <w:r>
              <w:rPr>
                <w:rFonts w:hint="eastAsia" w:ascii="仿宋_GB2312" w:eastAsia="仿宋_GB2312"/>
                <w:kern w:val="0"/>
                <w:sz w:val="24"/>
                <w:szCs w:val="20"/>
              </w:rPr>
              <w:t>/</w:t>
            </w:r>
          </w:p>
        </w:tc>
        <w:tc>
          <w:tcPr>
            <w:tcW w:w="1405" w:type="dxa"/>
            <w:vAlign w:val="center"/>
          </w:tcPr>
          <w:p>
            <w:pPr>
              <w:jc w:val="center"/>
              <w:rPr>
                <w:rFonts w:ascii="仿宋_GB2312" w:eastAsia="仿宋_GB2312"/>
                <w:kern w:val="0"/>
                <w:sz w:val="24"/>
                <w:szCs w:val="20"/>
              </w:rPr>
            </w:pPr>
            <w:r>
              <w:rPr>
                <w:rFonts w:hint="eastAsia" w:ascii="仿宋_GB2312" w:eastAsia="仿宋_GB2312"/>
                <w:kern w:val="0"/>
                <w:sz w:val="24"/>
                <w:szCs w:val="20"/>
              </w:rPr>
              <w:t>≥85%</w:t>
            </w:r>
          </w:p>
        </w:tc>
        <w:tc>
          <w:tcPr>
            <w:tcW w:w="1254" w:type="dxa"/>
            <w:vAlign w:val="center"/>
          </w:tcPr>
          <w:p>
            <w:pPr>
              <w:jc w:val="center"/>
              <w:rPr>
                <w:rFonts w:ascii="仿宋_GB2312" w:eastAsia="仿宋_GB2312"/>
                <w:kern w:val="0"/>
                <w:sz w:val="24"/>
                <w:szCs w:val="20"/>
              </w:rPr>
            </w:pPr>
            <w:r>
              <w:rPr>
                <w:rFonts w:hint="eastAsia" w:ascii="黑体" w:hAnsi="黑体" w:eastAsia="黑体" w:cs="黑体"/>
                <w:kern w:val="0"/>
                <w:sz w:val="24"/>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6</w:t>
            </w:r>
          </w:p>
        </w:tc>
        <w:tc>
          <w:tcPr>
            <w:tcW w:w="2704" w:type="dxa"/>
            <w:vAlign w:val="center"/>
          </w:tcPr>
          <w:p>
            <w:pPr>
              <w:jc w:val="left"/>
              <w:rPr>
                <w:rFonts w:ascii="仿宋_GB2312" w:eastAsia="仿宋_GB2312"/>
                <w:kern w:val="0"/>
                <w:sz w:val="24"/>
                <w:szCs w:val="20"/>
              </w:rPr>
            </w:pPr>
            <w:r>
              <w:rPr>
                <w:rFonts w:hint="eastAsia" w:ascii="仿宋_GB2312" w:eastAsia="仿宋_GB2312"/>
                <w:kern w:val="0"/>
                <w:sz w:val="24"/>
                <w:szCs w:val="20"/>
              </w:rPr>
              <w:t>职业卫生违法案件查处率</w:t>
            </w:r>
          </w:p>
        </w:tc>
        <w:tc>
          <w:tcPr>
            <w:tcW w:w="2558" w:type="dxa"/>
            <w:vAlign w:val="center"/>
          </w:tcPr>
          <w:p>
            <w:pPr>
              <w:jc w:val="center"/>
              <w:rPr>
                <w:rFonts w:ascii="仿宋_GB2312" w:eastAsia="仿宋_GB2312"/>
                <w:kern w:val="0"/>
                <w:sz w:val="24"/>
                <w:szCs w:val="20"/>
              </w:rPr>
            </w:pPr>
            <w:r>
              <w:rPr>
                <w:rFonts w:hint="eastAsia" w:ascii="仿宋_GB2312" w:eastAsia="仿宋_GB2312"/>
                <w:kern w:val="0"/>
                <w:sz w:val="24"/>
                <w:szCs w:val="20"/>
              </w:rPr>
              <w:t>100%</w:t>
            </w:r>
          </w:p>
        </w:tc>
        <w:tc>
          <w:tcPr>
            <w:tcW w:w="1559" w:type="dxa"/>
            <w:vAlign w:val="center"/>
          </w:tcPr>
          <w:p>
            <w:pPr>
              <w:jc w:val="center"/>
              <w:rPr>
                <w:rFonts w:ascii="仿宋_GB2312" w:eastAsia="仿宋_GB2312"/>
                <w:kern w:val="0"/>
                <w:sz w:val="24"/>
                <w:szCs w:val="20"/>
              </w:rPr>
            </w:pPr>
            <w:r>
              <w:rPr>
                <w:rFonts w:hint="eastAsia" w:ascii="仿宋_GB2312" w:eastAsia="仿宋_GB2312"/>
                <w:kern w:val="0"/>
                <w:sz w:val="24"/>
                <w:szCs w:val="20"/>
              </w:rPr>
              <w:t>100%</w:t>
            </w:r>
          </w:p>
        </w:tc>
        <w:tc>
          <w:tcPr>
            <w:tcW w:w="1405" w:type="dxa"/>
            <w:vAlign w:val="center"/>
          </w:tcPr>
          <w:p>
            <w:pPr>
              <w:jc w:val="center"/>
              <w:rPr>
                <w:rFonts w:ascii="仿宋_GB2312" w:eastAsia="仿宋_GB2312"/>
                <w:kern w:val="0"/>
                <w:sz w:val="24"/>
                <w:szCs w:val="20"/>
              </w:rPr>
            </w:pPr>
            <w:r>
              <w:rPr>
                <w:rFonts w:hint="eastAsia" w:ascii="仿宋_GB2312" w:eastAsia="仿宋_GB2312"/>
                <w:kern w:val="0"/>
                <w:sz w:val="24"/>
                <w:szCs w:val="20"/>
              </w:rPr>
              <w:t>100%</w:t>
            </w:r>
          </w:p>
        </w:tc>
        <w:tc>
          <w:tcPr>
            <w:tcW w:w="1254" w:type="dxa"/>
            <w:vAlign w:val="center"/>
          </w:tcPr>
          <w:p>
            <w:pPr>
              <w:jc w:val="center"/>
              <w:rPr>
                <w:rFonts w:ascii="仿宋_GB2312" w:eastAsia="仿宋_GB2312"/>
                <w:kern w:val="0"/>
                <w:sz w:val="24"/>
                <w:szCs w:val="20"/>
              </w:rPr>
            </w:pPr>
            <w:r>
              <w:rPr>
                <w:rFonts w:hint="eastAsia" w:ascii="黑体" w:hAnsi="黑体" w:eastAsia="黑体" w:cs="黑体"/>
                <w:kern w:val="0"/>
                <w:sz w:val="24"/>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7</w:t>
            </w:r>
          </w:p>
        </w:tc>
        <w:tc>
          <w:tcPr>
            <w:tcW w:w="2704" w:type="dxa"/>
            <w:vAlign w:val="center"/>
          </w:tcPr>
          <w:p>
            <w:pPr>
              <w:jc w:val="left"/>
              <w:rPr>
                <w:rFonts w:ascii="仿宋_GB2312" w:eastAsia="仿宋_GB2312"/>
                <w:kern w:val="0"/>
                <w:sz w:val="24"/>
                <w:szCs w:val="20"/>
              </w:rPr>
            </w:pPr>
            <w:r>
              <w:rPr>
                <w:rFonts w:hint="eastAsia" w:ascii="仿宋_GB2312" w:eastAsia="仿宋_GB2312"/>
                <w:kern w:val="0"/>
                <w:sz w:val="24"/>
                <w:szCs w:val="20"/>
              </w:rPr>
              <w:t>至少确定1家公立医疗卫生机构承担职业健康检查工作</w:t>
            </w:r>
          </w:p>
        </w:tc>
        <w:tc>
          <w:tcPr>
            <w:tcW w:w="2558" w:type="dxa"/>
            <w:vAlign w:val="center"/>
          </w:tcPr>
          <w:p>
            <w:pPr>
              <w:jc w:val="center"/>
              <w:rPr>
                <w:rFonts w:ascii="仿宋_GB2312" w:eastAsia="仿宋_GB2312"/>
                <w:kern w:val="0"/>
                <w:sz w:val="24"/>
                <w:szCs w:val="20"/>
              </w:rPr>
            </w:pPr>
            <w:r>
              <w:rPr>
                <w:rFonts w:hint="eastAsia" w:ascii="仿宋_GB2312" w:eastAsia="仿宋_GB2312"/>
                <w:kern w:val="0"/>
                <w:sz w:val="24"/>
                <w:szCs w:val="20"/>
              </w:rPr>
              <w:t>100%</w:t>
            </w:r>
          </w:p>
        </w:tc>
        <w:tc>
          <w:tcPr>
            <w:tcW w:w="1559" w:type="dxa"/>
            <w:vAlign w:val="center"/>
          </w:tcPr>
          <w:p>
            <w:pPr>
              <w:jc w:val="center"/>
              <w:rPr>
                <w:rFonts w:ascii="仿宋_GB2312" w:eastAsia="仿宋_GB2312"/>
                <w:kern w:val="0"/>
                <w:sz w:val="24"/>
                <w:szCs w:val="20"/>
              </w:rPr>
            </w:pPr>
            <w:r>
              <w:rPr>
                <w:rFonts w:hint="eastAsia" w:ascii="仿宋_GB2312" w:eastAsia="仿宋_GB2312"/>
                <w:kern w:val="0"/>
                <w:sz w:val="24"/>
                <w:szCs w:val="20"/>
              </w:rPr>
              <w:t>71.4%</w:t>
            </w:r>
          </w:p>
        </w:tc>
        <w:tc>
          <w:tcPr>
            <w:tcW w:w="1405" w:type="dxa"/>
            <w:vAlign w:val="center"/>
          </w:tcPr>
          <w:p>
            <w:pPr>
              <w:jc w:val="center"/>
              <w:rPr>
                <w:rFonts w:ascii="仿宋_GB2312" w:eastAsia="仿宋_GB2312"/>
                <w:kern w:val="0"/>
                <w:sz w:val="24"/>
                <w:szCs w:val="20"/>
              </w:rPr>
            </w:pPr>
            <w:r>
              <w:rPr>
                <w:rFonts w:hint="eastAsia" w:ascii="仿宋_GB2312" w:eastAsia="仿宋_GB2312"/>
                <w:kern w:val="0"/>
                <w:sz w:val="24"/>
                <w:szCs w:val="20"/>
              </w:rPr>
              <w:t>100%</w:t>
            </w:r>
          </w:p>
        </w:tc>
        <w:tc>
          <w:tcPr>
            <w:tcW w:w="1254" w:type="dxa"/>
            <w:vAlign w:val="center"/>
          </w:tcPr>
          <w:p>
            <w:pPr>
              <w:jc w:val="center"/>
              <w:rPr>
                <w:rFonts w:ascii="仿宋_GB2312" w:eastAsia="仿宋_GB2312"/>
                <w:kern w:val="0"/>
                <w:sz w:val="24"/>
                <w:szCs w:val="20"/>
              </w:rPr>
            </w:pPr>
            <w:r>
              <w:rPr>
                <w:rFonts w:hint="eastAsia" w:ascii="黑体" w:hAnsi="黑体" w:eastAsia="黑体" w:cs="黑体"/>
                <w:kern w:val="0"/>
                <w:sz w:val="24"/>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8</w:t>
            </w:r>
          </w:p>
        </w:tc>
        <w:tc>
          <w:tcPr>
            <w:tcW w:w="2704" w:type="dxa"/>
            <w:vAlign w:val="center"/>
          </w:tcPr>
          <w:p>
            <w:pPr>
              <w:jc w:val="left"/>
              <w:rPr>
                <w:rFonts w:ascii="仿宋_GB2312" w:eastAsia="仿宋_GB2312"/>
                <w:kern w:val="0"/>
                <w:sz w:val="24"/>
                <w:szCs w:val="20"/>
              </w:rPr>
            </w:pPr>
            <w:r>
              <w:rPr>
                <w:rFonts w:hint="eastAsia" w:ascii="仿宋_GB2312" w:eastAsia="仿宋_GB2312"/>
                <w:kern w:val="0"/>
                <w:sz w:val="24"/>
                <w:szCs w:val="20"/>
              </w:rPr>
              <w:t>重点行业用人单位劳动者防噪音耳塞或耳罩正确佩戴率</w:t>
            </w:r>
          </w:p>
        </w:tc>
        <w:tc>
          <w:tcPr>
            <w:tcW w:w="2558" w:type="dxa"/>
            <w:vAlign w:val="center"/>
          </w:tcPr>
          <w:p>
            <w:pPr>
              <w:jc w:val="center"/>
              <w:rPr>
                <w:rFonts w:ascii="仿宋_GB2312" w:eastAsia="仿宋_GB2312"/>
                <w:kern w:val="0"/>
                <w:sz w:val="24"/>
                <w:szCs w:val="20"/>
              </w:rPr>
            </w:pPr>
            <w:r>
              <w:rPr>
                <w:rFonts w:hint="eastAsia" w:ascii="仿宋_GB2312" w:eastAsia="仿宋_GB2312"/>
                <w:kern w:val="0"/>
                <w:sz w:val="24"/>
                <w:szCs w:val="20"/>
              </w:rPr>
              <w:t>/</w:t>
            </w:r>
          </w:p>
        </w:tc>
        <w:tc>
          <w:tcPr>
            <w:tcW w:w="1559" w:type="dxa"/>
            <w:vAlign w:val="center"/>
          </w:tcPr>
          <w:p>
            <w:pPr>
              <w:jc w:val="center"/>
              <w:rPr>
                <w:rFonts w:ascii="仿宋_GB2312" w:eastAsia="仿宋_GB2312"/>
                <w:kern w:val="0"/>
                <w:sz w:val="24"/>
                <w:szCs w:val="20"/>
              </w:rPr>
            </w:pPr>
            <w:r>
              <w:rPr>
                <w:rFonts w:hint="eastAsia" w:ascii="仿宋_GB2312" w:eastAsia="仿宋_GB2312"/>
                <w:kern w:val="0"/>
                <w:sz w:val="24"/>
                <w:szCs w:val="20"/>
              </w:rPr>
              <w:t>70.13%</w:t>
            </w:r>
          </w:p>
        </w:tc>
        <w:tc>
          <w:tcPr>
            <w:tcW w:w="1405" w:type="dxa"/>
            <w:vAlign w:val="center"/>
          </w:tcPr>
          <w:p>
            <w:pPr>
              <w:jc w:val="center"/>
              <w:rPr>
                <w:rFonts w:ascii="仿宋_GB2312" w:eastAsia="仿宋_GB2312"/>
                <w:sz w:val="24"/>
                <w:szCs w:val="24"/>
              </w:rPr>
            </w:pPr>
            <w:r>
              <w:rPr>
                <w:rFonts w:hint="eastAsia" w:ascii="仿宋_GB2312" w:eastAsia="仿宋_GB2312"/>
                <w:sz w:val="24"/>
                <w:szCs w:val="24"/>
              </w:rPr>
              <w:t>≥80%</w:t>
            </w:r>
          </w:p>
        </w:tc>
        <w:tc>
          <w:tcPr>
            <w:tcW w:w="1254" w:type="dxa"/>
            <w:vAlign w:val="center"/>
          </w:tcPr>
          <w:p>
            <w:pPr>
              <w:jc w:val="center"/>
              <w:rPr>
                <w:rFonts w:ascii="仿宋_GB2312" w:eastAsia="仿宋_GB2312"/>
                <w:sz w:val="24"/>
                <w:szCs w:val="24"/>
              </w:rPr>
            </w:pPr>
            <w:r>
              <w:rPr>
                <w:rFonts w:hint="eastAsia" w:ascii="黑体" w:hAnsi="黑体" w:eastAsia="黑体" w:cs="黑体"/>
                <w:sz w:val="24"/>
                <w:szCs w:val="24"/>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9</w:t>
            </w:r>
          </w:p>
        </w:tc>
        <w:tc>
          <w:tcPr>
            <w:tcW w:w="2704" w:type="dxa"/>
            <w:vAlign w:val="center"/>
          </w:tcPr>
          <w:p>
            <w:pPr>
              <w:jc w:val="left"/>
              <w:rPr>
                <w:rFonts w:ascii="仿宋_GB2312" w:eastAsia="仿宋_GB2312"/>
                <w:kern w:val="0"/>
                <w:sz w:val="24"/>
                <w:szCs w:val="20"/>
                <w:highlight w:val="yellow"/>
              </w:rPr>
            </w:pPr>
            <w:r>
              <w:rPr>
                <w:rFonts w:hint="eastAsia" w:ascii="仿宋_GB2312" w:eastAsia="仿宋_GB2312"/>
                <w:kern w:val="0"/>
                <w:sz w:val="24"/>
                <w:szCs w:val="20"/>
              </w:rPr>
              <w:t>放射诊疗单位放射工作人员职业健康体检率</w:t>
            </w:r>
          </w:p>
        </w:tc>
        <w:tc>
          <w:tcPr>
            <w:tcW w:w="2558" w:type="dxa"/>
            <w:vAlign w:val="center"/>
          </w:tcPr>
          <w:p>
            <w:pPr>
              <w:jc w:val="center"/>
              <w:rPr>
                <w:rFonts w:ascii="仿宋_GB2312" w:eastAsia="仿宋_GB2312"/>
                <w:kern w:val="0"/>
                <w:sz w:val="24"/>
                <w:szCs w:val="20"/>
              </w:rPr>
            </w:pPr>
            <w:r>
              <w:rPr>
                <w:rFonts w:hint="eastAsia" w:ascii="仿宋_GB2312" w:eastAsia="仿宋_GB2312"/>
                <w:kern w:val="0"/>
                <w:sz w:val="24"/>
                <w:szCs w:val="20"/>
              </w:rPr>
              <w:t>100%</w:t>
            </w:r>
          </w:p>
        </w:tc>
        <w:tc>
          <w:tcPr>
            <w:tcW w:w="1559" w:type="dxa"/>
            <w:vAlign w:val="center"/>
          </w:tcPr>
          <w:p>
            <w:pPr>
              <w:jc w:val="center"/>
              <w:rPr>
                <w:rFonts w:ascii="仿宋_GB2312" w:eastAsia="仿宋_GB2312"/>
                <w:kern w:val="0"/>
                <w:sz w:val="24"/>
                <w:szCs w:val="20"/>
              </w:rPr>
            </w:pPr>
            <w:r>
              <w:rPr>
                <w:rFonts w:hint="eastAsia" w:ascii="仿宋_GB2312" w:eastAsia="仿宋_GB2312"/>
                <w:kern w:val="0"/>
                <w:sz w:val="24"/>
                <w:szCs w:val="20"/>
              </w:rPr>
              <w:t>/</w:t>
            </w:r>
          </w:p>
        </w:tc>
        <w:tc>
          <w:tcPr>
            <w:tcW w:w="1405" w:type="dxa"/>
            <w:vAlign w:val="center"/>
          </w:tcPr>
          <w:p>
            <w:pPr>
              <w:jc w:val="center"/>
              <w:rPr>
                <w:rFonts w:ascii="仿宋_GB2312" w:eastAsia="仿宋_GB2312"/>
                <w:kern w:val="0"/>
                <w:sz w:val="24"/>
                <w:szCs w:val="20"/>
              </w:rPr>
            </w:pPr>
            <w:r>
              <w:rPr>
                <w:rFonts w:hint="eastAsia" w:ascii="仿宋_GB2312" w:eastAsia="仿宋_GB2312"/>
                <w:kern w:val="0"/>
                <w:sz w:val="24"/>
                <w:szCs w:val="20"/>
              </w:rPr>
              <w:t>≥95%</w:t>
            </w:r>
          </w:p>
        </w:tc>
        <w:tc>
          <w:tcPr>
            <w:tcW w:w="1254" w:type="dxa"/>
            <w:vAlign w:val="center"/>
          </w:tcPr>
          <w:p>
            <w:pPr>
              <w:jc w:val="center"/>
              <w:rPr>
                <w:rFonts w:ascii="仿宋_GB2312" w:eastAsia="仿宋_GB2312"/>
                <w:kern w:val="0"/>
                <w:sz w:val="24"/>
                <w:szCs w:val="20"/>
              </w:rPr>
            </w:pPr>
            <w:r>
              <w:rPr>
                <w:rFonts w:hint="eastAsia" w:ascii="黑体" w:hAnsi="黑体" w:eastAsia="黑体" w:cs="黑体"/>
                <w:kern w:val="0"/>
                <w:sz w:val="24"/>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16" w:type="dxa"/>
            <w:vAlign w:val="center"/>
          </w:tcPr>
          <w:p>
            <w:pPr>
              <w:jc w:val="center"/>
              <w:rPr>
                <w:rFonts w:ascii="仿宋_GB2312" w:eastAsia="仿宋_GB2312"/>
                <w:kern w:val="0"/>
                <w:sz w:val="24"/>
                <w:szCs w:val="20"/>
              </w:rPr>
            </w:pPr>
            <w:r>
              <w:rPr>
                <w:rFonts w:hint="eastAsia" w:ascii="仿宋_GB2312" w:eastAsia="仿宋_GB2312"/>
                <w:kern w:val="0"/>
                <w:sz w:val="24"/>
                <w:szCs w:val="20"/>
              </w:rPr>
              <w:t>10</w:t>
            </w:r>
          </w:p>
        </w:tc>
        <w:tc>
          <w:tcPr>
            <w:tcW w:w="2704" w:type="dxa"/>
            <w:vAlign w:val="center"/>
          </w:tcPr>
          <w:p>
            <w:pPr>
              <w:jc w:val="left"/>
              <w:rPr>
                <w:rFonts w:ascii="仿宋_GB2312" w:eastAsia="仿宋_GB2312"/>
                <w:kern w:val="0"/>
                <w:sz w:val="24"/>
                <w:szCs w:val="20"/>
              </w:rPr>
            </w:pPr>
            <w:r>
              <w:rPr>
                <w:rFonts w:hint="eastAsia" w:ascii="仿宋_GB2312" w:eastAsia="仿宋_GB2312"/>
                <w:kern w:val="0"/>
                <w:sz w:val="24"/>
                <w:szCs w:val="20"/>
              </w:rPr>
              <w:t>放射诊疗单位放射卫生防护监督覆盖率</w:t>
            </w:r>
          </w:p>
        </w:tc>
        <w:tc>
          <w:tcPr>
            <w:tcW w:w="2558" w:type="dxa"/>
            <w:vAlign w:val="center"/>
          </w:tcPr>
          <w:p>
            <w:pPr>
              <w:jc w:val="center"/>
              <w:rPr>
                <w:rFonts w:ascii="仿宋_GB2312" w:eastAsia="仿宋_GB2312"/>
                <w:kern w:val="0"/>
                <w:sz w:val="24"/>
                <w:szCs w:val="20"/>
              </w:rPr>
            </w:pPr>
            <w:r>
              <w:rPr>
                <w:rFonts w:hint="eastAsia" w:ascii="仿宋_GB2312" w:eastAsia="仿宋_GB2312"/>
                <w:kern w:val="0"/>
                <w:sz w:val="24"/>
                <w:szCs w:val="20"/>
              </w:rPr>
              <w:t>100%</w:t>
            </w:r>
          </w:p>
        </w:tc>
        <w:tc>
          <w:tcPr>
            <w:tcW w:w="1559" w:type="dxa"/>
            <w:vAlign w:val="center"/>
          </w:tcPr>
          <w:p>
            <w:pPr>
              <w:jc w:val="center"/>
              <w:rPr>
                <w:rFonts w:ascii="仿宋_GB2312" w:eastAsia="仿宋_GB2312"/>
                <w:kern w:val="0"/>
                <w:sz w:val="24"/>
                <w:szCs w:val="20"/>
              </w:rPr>
            </w:pPr>
            <w:r>
              <w:rPr>
                <w:rFonts w:hint="eastAsia" w:ascii="仿宋_GB2312" w:eastAsia="仿宋_GB2312"/>
                <w:kern w:val="0"/>
                <w:sz w:val="24"/>
                <w:szCs w:val="20"/>
              </w:rPr>
              <w:t>/</w:t>
            </w:r>
          </w:p>
        </w:tc>
        <w:tc>
          <w:tcPr>
            <w:tcW w:w="1405" w:type="dxa"/>
            <w:vAlign w:val="center"/>
          </w:tcPr>
          <w:p>
            <w:pPr>
              <w:jc w:val="center"/>
              <w:rPr>
                <w:rFonts w:ascii="仿宋_GB2312" w:eastAsia="仿宋_GB2312"/>
                <w:kern w:val="0"/>
                <w:sz w:val="24"/>
                <w:szCs w:val="20"/>
              </w:rPr>
            </w:pPr>
            <w:r>
              <w:rPr>
                <w:rFonts w:hint="eastAsia" w:ascii="仿宋_GB2312" w:eastAsia="仿宋_GB2312"/>
                <w:kern w:val="0"/>
                <w:sz w:val="24"/>
                <w:szCs w:val="20"/>
              </w:rPr>
              <w:t>100%</w:t>
            </w:r>
          </w:p>
        </w:tc>
        <w:tc>
          <w:tcPr>
            <w:tcW w:w="1254" w:type="dxa"/>
            <w:vAlign w:val="center"/>
          </w:tcPr>
          <w:p>
            <w:pPr>
              <w:jc w:val="center"/>
              <w:rPr>
                <w:rFonts w:ascii="仿宋_GB2312" w:eastAsia="仿宋_GB2312"/>
                <w:kern w:val="0"/>
                <w:sz w:val="24"/>
                <w:szCs w:val="20"/>
              </w:rPr>
            </w:pPr>
            <w:r>
              <w:rPr>
                <w:rFonts w:hint="eastAsia" w:ascii="黑体" w:hAnsi="黑体" w:eastAsia="黑体" w:cs="黑体"/>
                <w:kern w:val="0"/>
                <w:sz w:val="24"/>
                <w:szCs w:val="20"/>
              </w:rPr>
              <w:t>（市）</w:t>
            </w:r>
          </w:p>
        </w:tc>
      </w:tr>
    </w:tbl>
    <w:p>
      <w:pPr>
        <w:widowControl/>
        <w:spacing w:line="560" w:lineRule="exact"/>
        <w:ind w:firstLine="640" w:firstLineChars="200"/>
        <w:jc w:val="left"/>
        <w:outlineLvl w:val="1"/>
        <w:rPr>
          <w:rFonts w:ascii="楷体" w:hAnsi="楷体" w:eastAsia="楷体" w:cs="楷体"/>
          <w:sz w:val="32"/>
          <w:szCs w:val="20"/>
        </w:rPr>
      </w:pPr>
    </w:p>
    <w:p>
      <w:pPr>
        <w:widowControl/>
        <w:spacing w:line="560" w:lineRule="exact"/>
        <w:ind w:firstLine="640" w:firstLineChars="200"/>
        <w:jc w:val="left"/>
        <w:outlineLvl w:val="1"/>
        <w:rPr>
          <w:rFonts w:eastAsia="仿宋_GB2312"/>
          <w:sz w:val="32"/>
          <w:szCs w:val="20"/>
        </w:rPr>
      </w:pPr>
      <w:r>
        <w:rPr>
          <w:rFonts w:hint="eastAsia" w:ascii="楷体" w:hAnsi="楷体" w:eastAsia="楷体" w:cs="楷体"/>
          <w:sz w:val="32"/>
          <w:szCs w:val="20"/>
        </w:rPr>
        <w:t>（四）编制依据。</w:t>
      </w:r>
    </w:p>
    <w:p>
      <w:pPr>
        <w:widowControl/>
        <w:spacing w:line="560" w:lineRule="exact"/>
        <w:ind w:firstLine="641"/>
        <w:contextualSpacing/>
        <w:rPr>
          <w:rFonts w:ascii="仿宋_GB2312" w:hAnsi="仿宋_GB2312" w:eastAsia="仿宋_GB2312" w:cs="仿宋_GB2312"/>
          <w:sz w:val="32"/>
          <w:szCs w:val="20"/>
        </w:rPr>
      </w:pPr>
      <w:r>
        <w:rPr>
          <w:rFonts w:hint="eastAsia" w:ascii="仿宋_GB2312" w:hAnsi="仿宋_GB2312" w:eastAsia="仿宋_GB2312" w:cs="仿宋_GB2312"/>
          <w:sz w:val="32"/>
          <w:szCs w:val="20"/>
        </w:rPr>
        <w:t>1.</w:t>
      </w:r>
      <w:r>
        <w:rPr>
          <w:rFonts w:eastAsia="仿宋_GB2312"/>
          <w:sz w:val="32"/>
          <w:szCs w:val="20"/>
        </w:rPr>
        <w:t>《中华人民共和国基本医疗卫生与健康促进</w:t>
      </w:r>
      <w:r>
        <w:rPr>
          <w:rFonts w:hint="eastAsia" w:ascii="仿宋_GB2312" w:hAnsi="仿宋_GB2312" w:eastAsia="仿宋_GB2312" w:cs="仿宋_GB2312"/>
          <w:sz w:val="32"/>
          <w:szCs w:val="20"/>
        </w:rPr>
        <w:t>法》</w:t>
      </w:r>
    </w:p>
    <w:p>
      <w:pPr>
        <w:widowControl/>
        <w:spacing w:line="560" w:lineRule="exact"/>
        <w:ind w:firstLine="641"/>
        <w:contextualSpacing/>
        <w:rPr>
          <w:rFonts w:ascii="仿宋_GB2312" w:hAnsi="仿宋_GB2312" w:eastAsia="仿宋_GB2312" w:cs="仿宋_GB2312"/>
          <w:sz w:val="32"/>
          <w:szCs w:val="20"/>
        </w:rPr>
      </w:pPr>
      <w:r>
        <w:rPr>
          <w:rFonts w:hint="eastAsia" w:ascii="仿宋_GB2312" w:hAnsi="仿宋_GB2312" w:eastAsia="仿宋_GB2312" w:cs="仿宋_GB2312"/>
          <w:sz w:val="32"/>
          <w:szCs w:val="20"/>
        </w:rPr>
        <w:t>2.《</w:t>
      </w:r>
      <w:r>
        <w:rPr>
          <w:rFonts w:eastAsia="仿宋_GB2312"/>
          <w:sz w:val="32"/>
          <w:szCs w:val="20"/>
        </w:rPr>
        <w:t>中华人民共和国职业病防治法</w:t>
      </w:r>
      <w:r>
        <w:rPr>
          <w:rFonts w:hint="eastAsia" w:ascii="仿宋_GB2312" w:hAnsi="仿宋_GB2312" w:eastAsia="仿宋_GB2312" w:cs="仿宋_GB2312"/>
          <w:sz w:val="32"/>
          <w:szCs w:val="20"/>
        </w:rPr>
        <w:t>》</w:t>
      </w:r>
    </w:p>
    <w:p>
      <w:pPr>
        <w:widowControl/>
        <w:spacing w:line="560" w:lineRule="exact"/>
        <w:ind w:firstLine="641"/>
        <w:contextualSpacing/>
      </w:pPr>
      <w:r>
        <w:rPr>
          <w:rFonts w:hint="eastAsia" w:ascii="仿宋_GB2312" w:hAnsi="仿宋_GB2312" w:eastAsia="仿宋_GB2312" w:cs="仿宋_GB2312"/>
          <w:sz w:val="32"/>
          <w:szCs w:val="20"/>
        </w:rPr>
        <w:t>3.《国家职业病防治规划（2021-2025年）》</w:t>
      </w:r>
    </w:p>
    <w:p>
      <w:pPr>
        <w:widowControl/>
        <w:spacing w:line="560" w:lineRule="exact"/>
        <w:ind w:firstLine="641"/>
        <w:contextualSpacing/>
        <w:rPr>
          <w:rFonts w:ascii="仿宋_GB2312" w:hAnsi="仿宋_GB2312" w:eastAsia="仿宋_GB2312" w:cs="仿宋_GB2312"/>
          <w:sz w:val="32"/>
          <w:szCs w:val="20"/>
        </w:rPr>
      </w:pPr>
      <w:r>
        <w:rPr>
          <w:rFonts w:hint="eastAsia" w:ascii="仿宋_GB2312" w:hAnsi="仿宋_GB2312" w:eastAsia="仿宋_GB2312" w:cs="仿宋_GB2312"/>
          <w:sz w:val="32"/>
          <w:szCs w:val="20"/>
        </w:rPr>
        <w:t>4.《</w:t>
      </w:r>
      <w:r>
        <w:rPr>
          <w:rFonts w:hint="eastAsia" w:eastAsia="仿宋_GB2312"/>
          <w:sz w:val="32"/>
          <w:szCs w:val="20"/>
        </w:rPr>
        <w:t>广东省</w:t>
      </w:r>
      <w:r>
        <w:rPr>
          <w:rFonts w:eastAsia="仿宋_GB2312"/>
          <w:sz w:val="32"/>
          <w:szCs w:val="20"/>
        </w:rPr>
        <w:t>职业病防治规划（2021-2025年）</w:t>
      </w:r>
      <w:r>
        <w:rPr>
          <w:rFonts w:hint="eastAsia" w:ascii="仿宋_GB2312" w:hAnsi="仿宋_GB2312" w:eastAsia="仿宋_GB2312" w:cs="仿宋_GB2312"/>
          <w:sz w:val="32"/>
          <w:szCs w:val="20"/>
        </w:rPr>
        <w:t>》</w:t>
      </w:r>
    </w:p>
    <w:p>
      <w:pPr>
        <w:pStyle w:val="2"/>
        <w:widowControl/>
        <w:spacing w:after="0" w:line="560" w:lineRule="exact"/>
        <w:ind w:firstLine="640"/>
        <w:contextualSpacing/>
      </w:pPr>
      <w:r>
        <w:rPr>
          <w:rFonts w:hint="eastAsia" w:ascii="仿宋_GB2312" w:hAnsi="仿宋_GB2312" w:eastAsia="仿宋_GB2312" w:cs="仿宋_GB2312"/>
          <w:sz w:val="32"/>
          <w:szCs w:val="20"/>
        </w:rPr>
        <w:t>5.《</w:t>
      </w:r>
      <w:r>
        <w:rPr>
          <w:rFonts w:eastAsia="仿宋_GB2312"/>
          <w:sz w:val="32"/>
          <w:szCs w:val="20"/>
        </w:rPr>
        <w:t>健康广东行动（2019-2030年）</w:t>
      </w:r>
      <w:r>
        <w:rPr>
          <w:rFonts w:hint="eastAsia" w:ascii="仿宋_GB2312" w:hAnsi="仿宋_GB2312" w:eastAsia="仿宋_GB2312" w:cs="仿宋_GB2312"/>
          <w:sz w:val="32"/>
          <w:szCs w:val="20"/>
        </w:rPr>
        <w:t>》</w:t>
      </w:r>
    </w:p>
    <w:p>
      <w:pPr>
        <w:widowControl/>
        <w:spacing w:line="560" w:lineRule="exact"/>
        <w:ind w:firstLine="641"/>
        <w:contextualSpacing/>
        <w:rPr>
          <w:rFonts w:ascii="仿宋_GB2312" w:hAnsi="仿宋_GB2312" w:eastAsia="仿宋_GB2312" w:cs="仿宋_GB2312"/>
          <w:sz w:val="32"/>
          <w:szCs w:val="20"/>
        </w:rPr>
      </w:pPr>
      <w:r>
        <w:rPr>
          <w:rFonts w:hint="eastAsia" w:ascii="仿宋_GB2312" w:hAnsi="仿宋_GB2312" w:eastAsia="仿宋_GB2312" w:cs="仿宋_GB2312"/>
          <w:sz w:val="32"/>
          <w:szCs w:val="20"/>
        </w:rPr>
        <w:t>6.《</w:t>
      </w:r>
      <w:r>
        <w:rPr>
          <w:rFonts w:hint="eastAsia" w:eastAsia="仿宋_GB2312"/>
          <w:sz w:val="32"/>
          <w:szCs w:val="20"/>
        </w:rPr>
        <w:t>江门市</w:t>
      </w:r>
      <w:r>
        <w:rPr>
          <w:rFonts w:eastAsia="仿宋_GB2312"/>
          <w:sz w:val="32"/>
          <w:szCs w:val="20"/>
        </w:rPr>
        <w:t>职业病防治规划（20</w:t>
      </w:r>
      <w:r>
        <w:rPr>
          <w:rFonts w:hint="eastAsia" w:eastAsia="仿宋_GB2312"/>
          <w:sz w:val="32"/>
          <w:szCs w:val="20"/>
        </w:rPr>
        <w:t>17</w:t>
      </w:r>
      <w:r>
        <w:rPr>
          <w:rFonts w:eastAsia="仿宋_GB2312"/>
          <w:sz w:val="32"/>
          <w:szCs w:val="20"/>
        </w:rPr>
        <w:t>-20</w:t>
      </w:r>
      <w:r>
        <w:rPr>
          <w:rFonts w:hint="eastAsia" w:eastAsia="仿宋_GB2312"/>
          <w:sz w:val="32"/>
          <w:szCs w:val="20"/>
        </w:rPr>
        <w:t>20</w:t>
      </w:r>
      <w:r>
        <w:rPr>
          <w:rFonts w:eastAsia="仿宋_GB2312"/>
          <w:sz w:val="32"/>
          <w:szCs w:val="20"/>
        </w:rPr>
        <w:t>年）</w:t>
      </w:r>
      <w:r>
        <w:rPr>
          <w:rFonts w:hint="eastAsia" w:ascii="仿宋_GB2312" w:hAnsi="仿宋_GB2312" w:eastAsia="仿宋_GB2312" w:cs="仿宋_GB2312"/>
          <w:sz w:val="32"/>
          <w:szCs w:val="20"/>
        </w:rPr>
        <w:t>》</w:t>
      </w:r>
    </w:p>
    <w:p>
      <w:pPr>
        <w:widowControl/>
        <w:spacing w:line="560" w:lineRule="exact"/>
        <w:ind w:firstLine="641"/>
        <w:contextualSpacing/>
        <w:rPr>
          <w:rFonts w:eastAsia="仿宋_GB2312"/>
          <w:sz w:val="32"/>
          <w:szCs w:val="20"/>
        </w:rPr>
      </w:pPr>
      <w:r>
        <w:rPr>
          <w:rFonts w:hint="eastAsia" w:ascii="仿宋_GB2312" w:hAnsi="仿宋_GB2312" w:eastAsia="仿宋_GB2312" w:cs="仿宋_GB2312"/>
          <w:sz w:val="32"/>
          <w:szCs w:val="20"/>
        </w:rPr>
        <w:t>7.《</w:t>
      </w:r>
      <w:r>
        <w:rPr>
          <w:rFonts w:hint="eastAsia" w:eastAsia="仿宋_GB2312"/>
          <w:sz w:val="32"/>
          <w:szCs w:val="20"/>
        </w:rPr>
        <w:t>江门市</w:t>
      </w:r>
      <w:r>
        <w:rPr>
          <w:rFonts w:eastAsia="仿宋_GB2312"/>
          <w:sz w:val="32"/>
          <w:szCs w:val="20"/>
        </w:rPr>
        <w:t>职业病防治</w:t>
      </w:r>
      <w:r>
        <w:rPr>
          <w:rFonts w:hint="eastAsia" w:eastAsia="仿宋_GB2312"/>
          <w:sz w:val="32"/>
          <w:szCs w:val="20"/>
        </w:rPr>
        <w:t>“十四五”</w:t>
      </w:r>
      <w:r>
        <w:rPr>
          <w:rFonts w:eastAsia="仿宋_GB2312"/>
          <w:sz w:val="32"/>
          <w:szCs w:val="20"/>
        </w:rPr>
        <w:t>规划</w:t>
      </w:r>
      <w:r>
        <w:rPr>
          <w:rFonts w:hint="eastAsia" w:ascii="仿宋_GB2312" w:hAnsi="仿宋_GB2312" w:eastAsia="仿宋_GB2312" w:cs="仿宋_GB2312"/>
          <w:sz w:val="32"/>
          <w:szCs w:val="20"/>
        </w:rPr>
        <w:t>》</w:t>
      </w:r>
    </w:p>
    <w:p>
      <w:pPr>
        <w:spacing w:line="560" w:lineRule="exact"/>
        <w:outlineLvl w:val="0"/>
        <w:rPr>
          <w:rFonts w:ascii="黑体" w:hAnsi="黑体" w:eastAsia="黑体" w:cs="黑体"/>
          <w:sz w:val="32"/>
          <w:szCs w:val="20"/>
        </w:rPr>
      </w:pPr>
      <w:r>
        <w:rPr>
          <w:rFonts w:hint="eastAsia" w:eastAsia="仿宋_GB2312"/>
          <w:sz w:val="32"/>
          <w:szCs w:val="20"/>
        </w:rPr>
        <w:t xml:space="preserve">  </w:t>
      </w:r>
      <w:r>
        <w:rPr>
          <w:rFonts w:hint="eastAsia" w:ascii="仿宋_GB2312" w:hAnsi="仿宋_GB2312" w:eastAsia="仿宋_GB2312" w:cs="仿宋_GB2312"/>
          <w:sz w:val="32"/>
          <w:szCs w:val="20"/>
        </w:rPr>
        <w:t xml:space="preserve"> </w:t>
      </w:r>
      <w:r>
        <w:rPr>
          <w:rFonts w:hint="eastAsia" w:ascii="黑体" w:hAnsi="黑体" w:eastAsia="黑体" w:cs="黑体"/>
          <w:sz w:val="32"/>
          <w:szCs w:val="20"/>
        </w:rPr>
        <w:t xml:space="preserve"> 三、主要任务</w:t>
      </w:r>
    </w:p>
    <w:p>
      <w:pPr>
        <w:widowControl/>
        <w:spacing w:line="560" w:lineRule="exact"/>
        <w:rPr>
          <w:rFonts w:ascii="仿宋_GB2312" w:hAnsi="仿宋_GB2312" w:eastAsia="仿宋_GB2312" w:cs="仿宋_GB2312"/>
          <w:sz w:val="32"/>
          <w:szCs w:val="20"/>
        </w:rPr>
      </w:pPr>
      <w:r>
        <w:rPr>
          <w:rFonts w:hint="eastAsia" w:ascii="仿宋_GB2312" w:hAnsi="仿宋_GB2312" w:eastAsia="仿宋_GB2312" w:cs="仿宋_GB2312"/>
          <w:sz w:val="32"/>
          <w:szCs w:val="20"/>
        </w:rPr>
        <w:t xml:space="preserve">   </w:t>
      </w:r>
      <w:r>
        <w:rPr>
          <w:rFonts w:hint="eastAsia" w:ascii="楷体" w:hAnsi="楷体" w:eastAsia="楷体" w:cs="楷体"/>
          <w:sz w:val="32"/>
          <w:szCs w:val="20"/>
        </w:rPr>
        <w:t xml:space="preserve"> （一）深化职业病危害预防治理。</w:t>
      </w:r>
      <w:r>
        <w:rPr>
          <w:rFonts w:hint="eastAsia" w:ascii="仿宋_GB2312" w:hAnsi="仿宋_GB2312" w:eastAsia="仿宋_GB2312" w:cs="仿宋_GB2312"/>
          <w:sz w:val="32"/>
          <w:szCs w:val="20"/>
        </w:rPr>
        <w:t>在产业转型升级、标准规范制定、技术升级改造和中小微企业帮扶方面统筹考虑职业健康工作。组织对“十三五”时期新报告职业病用人单位、重点行业企业开展重点治理。强化用人单位主体责任，依法落实职业病危害项目申报、建设项目职业病防护设施“三同时”、职业病危害因素检测评价、劳动者职业健康检查和健康培训等制度。在有条件的地区推动用人单位开展重点职业病危害因素在线日常监测试点。以粉尘、化学毒物、噪声和辐射等职业病危害严重的行业领域为重点，持续开展职业病危害因素监测和专项治理。建立中小微企业职业健康帮扶机制。实施重点行业领域听力保护行动，从噪声危害监测、健康教育培训、听力保护指导及效果评估、早期健康筛查、临床诊断治疗等关键点预防和控制噪声危害。加强职业活动中新发现危害的辨识评估和防控，开展肌肉骨骼疾患和职业紧张等防治行动。职业病防治技术支撑机构要积极协助和技术指导住房城乡建设、交通、司法等部门加强环卫工人、“两客一危”从业人员以及从事劳动改造服刑人员等重点领域或特殊机构相关人员的职业健康保护。充分发挥产业、职业健康等行业协会作用，强化行业自律，规范行业职业健康工作。</w:t>
      </w:r>
    </w:p>
    <w:p>
      <w:pPr>
        <w:spacing w:line="560" w:lineRule="exact"/>
        <w:ind w:firstLine="640" w:firstLineChars="200"/>
        <w:rPr>
          <w:rFonts w:hint="eastAsia" w:ascii="仿宋_GB2312" w:hAnsi="仿宋_GB2312" w:eastAsia="仿宋_GB2312" w:cs="仿宋_GB2312"/>
          <w:snapToGrid w:val="0"/>
          <w:kern w:val="0"/>
          <w:sz w:val="32"/>
          <w:szCs w:val="32"/>
          <w:shd w:val="clear" w:color="auto" w:fill="FFFFFF"/>
        </w:rPr>
      </w:pPr>
    </w:p>
    <w:p>
      <w:pPr>
        <w:pStyle w:val="2"/>
        <w:rPr>
          <w:rFonts w:hint="eastAsia"/>
        </w:rPr>
      </w:pPr>
    </w:p>
    <w:p>
      <w:pPr>
        <w:pStyle w:val="3"/>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9060" w:type="dxa"/>
            <w:tcBorders>
              <w:tl2br w:val="nil"/>
              <w:tr2bl w:val="nil"/>
            </w:tcBorders>
            <w:tcMar>
              <w:top w:w="0" w:type="dxa"/>
              <w:left w:w="108" w:type="dxa"/>
              <w:bottom w:w="0" w:type="dxa"/>
              <w:right w:w="108" w:type="dxa"/>
            </w:tcMar>
            <w:vAlign w:val="center"/>
          </w:tcPr>
          <w:p>
            <w:pPr>
              <w:spacing w:line="420" w:lineRule="exact"/>
              <w:jc w:val="center"/>
              <w:rPr>
                <w:rFonts w:eastAsia="楷体"/>
                <w:b/>
                <w:sz w:val="28"/>
                <w:szCs w:val="20"/>
              </w:rPr>
            </w:pPr>
            <w:r>
              <w:rPr>
                <w:rFonts w:hint="eastAsia" w:ascii="宋体" w:hAnsi="宋体" w:cs="宋体"/>
                <w:bCs/>
                <w:sz w:val="28"/>
                <w:szCs w:val="20"/>
              </w:rPr>
              <w:t>★</w:t>
            </w:r>
            <w:r>
              <w:rPr>
                <w:rFonts w:eastAsia="黑体"/>
                <w:bCs/>
                <w:sz w:val="28"/>
                <w:szCs w:val="20"/>
              </w:rPr>
              <w:t>专栏1  重点行业健康企业与中小微企业帮扶行动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atLeast"/>
        </w:trPr>
        <w:tc>
          <w:tcPr>
            <w:tcW w:w="9060" w:type="dxa"/>
            <w:tcBorders>
              <w:bottom w:val="single" w:color="auto" w:sz="4" w:space="0"/>
              <w:tl2br w:val="nil"/>
              <w:tr2bl w:val="nil"/>
            </w:tcBorders>
            <w:tcMar>
              <w:top w:w="0" w:type="dxa"/>
              <w:left w:w="108" w:type="dxa"/>
              <w:bottom w:w="0" w:type="dxa"/>
              <w:right w:w="108" w:type="dxa"/>
            </w:tcMar>
            <w:vAlign w:val="center"/>
          </w:tcPr>
          <w:p>
            <w:pPr>
              <w:widowControl/>
              <w:tabs>
                <w:tab w:val="left" w:pos="1511"/>
              </w:tabs>
              <w:spacing w:line="440" w:lineRule="exact"/>
              <w:jc w:val="left"/>
              <w:rPr>
                <w:rFonts w:eastAsia="仿宋_GB2312"/>
                <w:sz w:val="28"/>
                <w:szCs w:val="32"/>
              </w:rPr>
            </w:pPr>
            <w:r>
              <w:rPr>
                <w:rFonts w:hint="eastAsia" w:eastAsia="仿宋_GB2312"/>
                <w:b/>
                <w:sz w:val="28"/>
                <w:szCs w:val="20"/>
              </w:rPr>
              <w:t xml:space="preserve">    </w:t>
            </w:r>
            <w:r>
              <w:rPr>
                <w:rFonts w:eastAsia="仿宋_GB2312"/>
                <w:b/>
                <w:sz w:val="28"/>
                <w:szCs w:val="20"/>
              </w:rPr>
              <w:t>行动目标：</w:t>
            </w:r>
            <w:r>
              <w:rPr>
                <w:rFonts w:eastAsia="仿宋_GB2312"/>
                <w:sz w:val="28"/>
                <w:szCs w:val="32"/>
              </w:rPr>
              <w:t>在采矿业、黑色金属冶炼、有色金属冶炼、建筑业及建材相关行业、化学原料和化学制品制造业等重点行业领域开展职业健康帮扶行动，推动中小微型企业规范职业健康管理，</w:t>
            </w:r>
            <w:r>
              <w:rPr>
                <w:rFonts w:hint="eastAsia" w:eastAsia="仿宋_GB2312"/>
                <w:sz w:val="28"/>
                <w:szCs w:val="32"/>
              </w:rPr>
              <w:t>鼓励专家进企业定点帮扶，</w:t>
            </w:r>
            <w:r>
              <w:rPr>
                <w:rFonts w:eastAsia="仿宋_GB2312"/>
                <w:sz w:val="28"/>
                <w:szCs w:val="32"/>
              </w:rPr>
              <w:t>提升职业健康管理水平。</w:t>
            </w:r>
          </w:p>
          <w:p>
            <w:pPr>
              <w:widowControl/>
              <w:tabs>
                <w:tab w:val="left" w:pos="1511"/>
              </w:tabs>
              <w:spacing w:line="440" w:lineRule="exact"/>
              <w:ind w:firstLine="561"/>
              <w:jc w:val="left"/>
              <w:rPr>
                <w:rFonts w:eastAsia="仿宋_GB2312"/>
                <w:b/>
                <w:sz w:val="28"/>
                <w:szCs w:val="20"/>
              </w:rPr>
            </w:pPr>
            <w:r>
              <w:rPr>
                <w:rFonts w:eastAsia="仿宋_GB2312"/>
                <w:b/>
                <w:sz w:val="28"/>
                <w:szCs w:val="20"/>
              </w:rPr>
              <w:t>行动内容：</w:t>
            </w:r>
          </w:p>
          <w:p>
            <w:pPr>
              <w:widowControl/>
              <w:tabs>
                <w:tab w:val="left" w:pos="1511"/>
              </w:tabs>
              <w:spacing w:line="440" w:lineRule="exact"/>
              <w:ind w:firstLine="561"/>
              <w:jc w:val="left"/>
              <w:rPr>
                <w:rFonts w:eastAsia="仿宋_GB2312"/>
                <w:sz w:val="28"/>
                <w:szCs w:val="32"/>
              </w:rPr>
            </w:pPr>
            <w:r>
              <w:rPr>
                <w:rFonts w:eastAsia="仿宋_GB2312"/>
                <w:sz w:val="28"/>
                <w:szCs w:val="32"/>
              </w:rPr>
              <w:t>1.以防治粉尘、化学毒物、噪声、手传振动和辐射危害为重点，</w:t>
            </w:r>
            <w:r>
              <w:rPr>
                <w:rFonts w:hint="eastAsia" w:eastAsia="仿宋_GB2312"/>
                <w:sz w:val="28"/>
                <w:szCs w:val="32"/>
              </w:rPr>
              <w:t>依据</w:t>
            </w:r>
            <w:r>
              <w:rPr>
                <w:rFonts w:eastAsia="仿宋_GB2312"/>
                <w:sz w:val="28"/>
                <w:szCs w:val="32"/>
              </w:rPr>
              <w:t>重点行业领域健康企业建设指南，开展中小微型企业职业健康帮扶活动。</w:t>
            </w:r>
          </w:p>
          <w:p>
            <w:pPr>
              <w:widowControl/>
              <w:tabs>
                <w:tab w:val="left" w:pos="1511"/>
              </w:tabs>
              <w:spacing w:line="440" w:lineRule="exact"/>
              <w:ind w:firstLine="561"/>
              <w:jc w:val="left"/>
              <w:rPr>
                <w:rFonts w:eastAsia="仿宋"/>
                <w:sz w:val="28"/>
                <w:szCs w:val="32"/>
              </w:rPr>
            </w:pPr>
            <w:r>
              <w:rPr>
                <w:rFonts w:eastAsia="仿宋_GB2312"/>
                <w:sz w:val="28"/>
                <w:szCs w:val="32"/>
              </w:rPr>
              <w:t>2.</w:t>
            </w:r>
            <w:r>
              <w:rPr>
                <w:rFonts w:hint="eastAsia" w:eastAsia="仿宋_GB2312"/>
                <w:sz w:val="28"/>
                <w:szCs w:val="32"/>
              </w:rPr>
              <w:t>依据</w:t>
            </w:r>
            <w:r>
              <w:rPr>
                <w:rFonts w:eastAsia="仿宋_GB2312"/>
                <w:sz w:val="28"/>
                <w:szCs w:val="32"/>
              </w:rPr>
              <w:t>中小微型企业职业健康技术援助建设指南以及中小微型企业职业健康管理支持工具</w:t>
            </w:r>
            <w:r>
              <w:rPr>
                <w:rFonts w:hint="eastAsia" w:eastAsia="仿宋_GB2312"/>
                <w:sz w:val="28"/>
                <w:szCs w:val="32"/>
              </w:rPr>
              <w:t>，</w:t>
            </w:r>
            <w:r>
              <w:rPr>
                <w:rFonts w:eastAsia="仿宋_GB2312"/>
                <w:sz w:val="28"/>
                <w:szCs w:val="32"/>
              </w:rPr>
              <w:t>探索中小微型企业职业健康托管式服务，以“企业+托管服务单位+卫生监管部门”的联动方式开展职业健康管理和监督执法工作，通过“一企一策”方案帮扶企业；探索以政府购买服务方式，开展中小微型企业工作场所职业病危害因素检测和职业健康检查工作，或聘请专家团队、技术支撑机构对企业进行精准指导和定点帮扶等。</w:t>
            </w:r>
          </w:p>
          <w:p>
            <w:pPr>
              <w:widowControl/>
              <w:tabs>
                <w:tab w:val="left" w:pos="1511"/>
              </w:tabs>
              <w:spacing w:line="440" w:lineRule="exact"/>
              <w:ind w:firstLine="561"/>
              <w:jc w:val="left"/>
              <w:rPr>
                <w:rFonts w:eastAsia="仿宋_GB2312"/>
                <w:sz w:val="28"/>
                <w:szCs w:val="32"/>
              </w:rPr>
            </w:pPr>
            <w:r>
              <w:rPr>
                <w:rFonts w:eastAsia="仿宋_GB2312"/>
                <w:sz w:val="28"/>
                <w:szCs w:val="32"/>
              </w:rPr>
              <w:t>3.探索建设若干行业和地方中小微型企业职业健康技术援助管理平台，设立实时在线监测试点、噪声和尘毒呼吸防护效果个体化定量评估技术试点，及时推广中小微企业帮扶经验，总结形成江门特色的帮扶模式。</w:t>
            </w:r>
          </w:p>
          <w:p>
            <w:pPr>
              <w:widowControl/>
              <w:tabs>
                <w:tab w:val="left" w:pos="1511"/>
              </w:tabs>
              <w:spacing w:line="440" w:lineRule="exact"/>
              <w:ind w:firstLine="561"/>
              <w:jc w:val="left"/>
              <w:rPr>
                <w:rFonts w:eastAsia="仿宋_GB2312"/>
                <w:sz w:val="28"/>
                <w:szCs w:val="32"/>
              </w:rPr>
            </w:pPr>
            <w:r>
              <w:rPr>
                <w:rFonts w:eastAsia="仿宋_GB2312"/>
                <w:b/>
                <w:sz w:val="28"/>
                <w:szCs w:val="20"/>
              </w:rPr>
              <w:t>预期</w:t>
            </w:r>
            <w:r>
              <w:rPr>
                <w:rFonts w:hint="eastAsia" w:eastAsia="仿宋_GB2312"/>
                <w:b/>
                <w:sz w:val="28"/>
                <w:szCs w:val="20"/>
              </w:rPr>
              <w:t>效果</w:t>
            </w:r>
            <w:r>
              <w:rPr>
                <w:rFonts w:eastAsia="仿宋_GB2312"/>
                <w:b/>
                <w:sz w:val="28"/>
                <w:szCs w:val="20"/>
              </w:rPr>
              <w:t>：</w:t>
            </w:r>
            <w:r>
              <w:rPr>
                <w:rFonts w:hint="eastAsia" w:eastAsia="仿宋_GB2312"/>
                <w:sz w:val="28"/>
                <w:szCs w:val="32"/>
              </w:rPr>
              <w:t>依据</w:t>
            </w:r>
            <w:r>
              <w:rPr>
                <w:rFonts w:eastAsia="仿宋_GB2312"/>
                <w:sz w:val="28"/>
                <w:szCs w:val="32"/>
              </w:rPr>
              <w:t>中小微型企业职业健康技术援助建设指南</w:t>
            </w:r>
            <w:r>
              <w:rPr>
                <w:rFonts w:hint="eastAsia" w:eastAsia="仿宋_GB2312"/>
                <w:sz w:val="28"/>
                <w:szCs w:val="32"/>
              </w:rPr>
              <w:t>以及</w:t>
            </w:r>
            <w:r>
              <w:rPr>
                <w:rFonts w:eastAsia="仿宋_GB2312"/>
                <w:sz w:val="28"/>
                <w:szCs w:val="32"/>
              </w:rPr>
              <w:t>中小微型企业职业健康管理辅助工具，总结推广中小微企业帮扶江门模式，提升中小微型企业职业病防治工作水平。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906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pacing w:line="400" w:lineRule="exact"/>
              <w:ind w:firstLine="560" w:firstLineChars="200"/>
              <w:jc w:val="center"/>
              <w:rPr>
                <w:rFonts w:eastAsia="微软雅黑"/>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9060" w:type="dxa"/>
            <w:tcBorders>
              <w:top w:val="single" w:color="auto" w:sz="4" w:space="0"/>
              <w:tl2br w:val="nil"/>
              <w:tr2bl w:val="nil"/>
            </w:tcBorders>
            <w:tcMar>
              <w:top w:w="0" w:type="dxa"/>
              <w:left w:w="108" w:type="dxa"/>
              <w:bottom w:w="0" w:type="dxa"/>
              <w:right w:w="108" w:type="dxa"/>
            </w:tcMar>
            <w:vAlign w:val="center"/>
          </w:tcPr>
          <w:p>
            <w:pPr>
              <w:spacing w:line="400" w:lineRule="exact"/>
              <w:jc w:val="center"/>
              <w:rPr>
                <w:rFonts w:eastAsia="仿宋_GB2312"/>
                <w:b/>
                <w:sz w:val="28"/>
                <w:szCs w:val="20"/>
              </w:rPr>
            </w:pPr>
            <w:r>
              <w:rPr>
                <w:rFonts w:hint="eastAsia" w:ascii="宋体" w:hAnsi="宋体" w:cs="宋体"/>
                <w:bCs/>
                <w:sz w:val="28"/>
                <w:szCs w:val="28"/>
              </w:rPr>
              <w:t>★</w:t>
            </w:r>
            <w:r>
              <w:rPr>
                <w:rFonts w:eastAsia="黑体"/>
                <w:bCs/>
                <w:sz w:val="28"/>
                <w:szCs w:val="20"/>
              </w:rPr>
              <w:t>专栏2  听力保护行动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9060" w:type="dxa"/>
            <w:tcBorders>
              <w:tl2br w:val="nil"/>
              <w:tr2bl w:val="nil"/>
            </w:tcBorders>
            <w:tcMar>
              <w:top w:w="0" w:type="dxa"/>
              <w:left w:w="108" w:type="dxa"/>
              <w:bottom w:w="0" w:type="dxa"/>
              <w:right w:w="108" w:type="dxa"/>
            </w:tcMar>
            <w:vAlign w:val="center"/>
          </w:tcPr>
          <w:p>
            <w:pPr>
              <w:widowControl/>
              <w:spacing w:line="5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行动目标：</w:t>
            </w:r>
            <w:r>
              <w:rPr>
                <w:rFonts w:hint="eastAsia" w:ascii="仿宋_GB2312" w:hAnsi="仿宋_GB2312" w:eastAsia="仿宋_GB2312" w:cs="仿宋_GB2312"/>
                <w:sz w:val="28"/>
                <w:szCs w:val="28"/>
              </w:rPr>
              <w:t>在机械、轻工、建材等重点行业领域开展听力保护行动，精准指导企业开展噪声危害治理，推动建设听力保护示范企业，提升企业噪声治理能力，保护劳动者听力健康。</w:t>
            </w:r>
          </w:p>
          <w:p>
            <w:pPr>
              <w:widowControl/>
              <w:spacing w:line="500" w:lineRule="exact"/>
              <w:ind w:firstLine="5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行动内容：</w:t>
            </w:r>
          </w:p>
          <w:p>
            <w:pPr>
              <w:widowControl/>
              <w:spacing w:line="500" w:lineRule="exact"/>
              <w:ind w:firstLine="560"/>
              <w:jc w:val="left"/>
              <w:rPr>
                <w:rFonts w:ascii="仿宋_GB2312" w:hAnsi="仿宋_GB2312" w:eastAsia="仿宋_GB2312" w:cs="仿宋_GB2312"/>
                <w:spacing w:val="-6"/>
                <w:sz w:val="28"/>
                <w:szCs w:val="28"/>
              </w:rPr>
            </w:pPr>
            <w:r>
              <w:rPr>
                <w:rFonts w:hint="eastAsia" w:eastAsia="仿宋_GB2312"/>
                <w:spacing w:val="-6"/>
                <w:sz w:val="28"/>
                <w:szCs w:val="32"/>
              </w:rPr>
              <w:t>1</w:t>
            </w:r>
            <w:r>
              <w:rPr>
                <w:rFonts w:eastAsia="仿宋_GB2312"/>
                <w:spacing w:val="-6"/>
                <w:sz w:val="28"/>
                <w:szCs w:val="32"/>
              </w:rPr>
              <w:t>.</w:t>
            </w:r>
            <w:r>
              <w:rPr>
                <w:rFonts w:hint="eastAsia" w:ascii="仿宋_GB2312" w:hAnsi="仿宋_GB2312" w:eastAsia="仿宋_GB2312" w:cs="仿宋_GB2312"/>
                <w:spacing w:val="-6"/>
                <w:sz w:val="28"/>
                <w:szCs w:val="28"/>
              </w:rPr>
              <w:t>在机械、轻工、建材等重点行业领域开展噪声危害监测、工程治理、个体防护指导及效果评估、早期健康筛查等全链条全方位的听力保护行动。</w:t>
            </w:r>
          </w:p>
          <w:p>
            <w:pPr>
              <w:widowControl/>
              <w:spacing w:line="500" w:lineRule="exact"/>
              <w:ind w:firstLine="560"/>
              <w:jc w:val="left"/>
              <w:rPr>
                <w:rFonts w:ascii="仿宋_GB2312" w:hAnsi="仿宋_GB2312" w:eastAsia="仿宋_GB2312" w:cs="仿宋_GB2312"/>
                <w:spacing w:val="-6"/>
                <w:sz w:val="28"/>
                <w:szCs w:val="28"/>
              </w:rPr>
            </w:pPr>
            <w:r>
              <w:rPr>
                <w:rFonts w:hint="eastAsia" w:eastAsia="仿宋_GB2312"/>
                <w:spacing w:val="-6"/>
                <w:sz w:val="28"/>
                <w:szCs w:val="32"/>
              </w:rPr>
              <w:t>2</w:t>
            </w:r>
            <w:r>
              <w:rPr>
                <w:rFonts w:eastAsia="仿宋_GB2312"/>
                <w:spacing w:val="-6"/>
                <w:sz w:val="28"/>
                <w:szCs w:val="32"/>
              </w:rPr>
              <w:t>.</w:t>
            </w:r>
            <w:r>
              <w:rPr>
                <w:rFonts w:hint="eastAsia" w:ascii="仿宋_GB2312" w:hAnsi="仿宋_GB2312" w:eastAsia="仿宋_GB2312" w:cs="仿宋_GB2312"/>
                <w:spacing w:val="-6"/>
                <w:sz w:val="28"/>
                <w:szCs w:val="28"/>
              </w:rPr>
              <w:t>依托省级听力保护行动管理平台和重点行业领域噪声危害数据库，推广噪声工作场所实施在线日常监测技术，精准指导企业开展噪声危害治理。</w:t>
            </w:r>
          </w:p>
          <w:p>
            <w:pPr>
              <w:widowControl/>
              <w:spacing w:line="500" w:lineRule="exact"/>
              <w:ind w:firstLine="560"/>
              <w:jc w:val="left"/>
              <w:rPr>
                <w:rFonts w:ascii="仿宋_GB2312" w:hAnsi="仿宋_GB2312" w:eastAsia="仿宋_GB2312" w:cs="仿宋_GB2312"/>
                <w:sz w:val="28"/>
                <w:szCs w:val="28"/>
              </w:rPr>
            </w:pPr>
            <w:r>
              <w:rPr>
                <w:rFonts w:hint="eastAsia" w:eastAsia="仿宋_GB2312"/>
                <w:sz w:val="28"/>
                <w:szCs w:val="32"/>
              </w:rPr>
              <w:t>3</w:t>
            </w:r>
            <w:r>
              <w:rPr>
                <w:rFonts w:eastAsia="仿宋_GB2312"/>
                <w:sz w:val="28"/>
                <w:szCs w:val="32"/>
              </w:rPr>
              <w:t>.</w:t>
            </w:r>
            <w:r>
              <w:rPr>
                <w:rFonts w:hint="eastAsia" w:ascii="仿宋_GB2312" w:hAnsi="仿宋_GB2312" w:eastAsia="仿宋_GB2312" w:cs="仿宋_GB2312"/>
                <w:sz w:val="28"/>
                <w:szCs w:val="28"/>
              </w:rPr>
              <w:t>总结和推广不同行业听力保护先进经验和模式，推动各地区开展听力保护示范企业建设。</w:t>
            </w:r>
          </w:p>
          <w:p>
            <w:pPr>
              <w:widowControl/>
              <w:spacing w:line="500" w:lineRule="exact"/>
              <w:jc w:val="left"/>
              <w:rPr>
                <w:rFonts w:eastAsia="仿宋_GB2312"/>
                <w:b/>
                <w:sz w:val="32"/>
                <w:szCs w:val="2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预期效果：</w:t>
            </w:r>
            <w:r>
              <w:rPr>
                <w:rFonts w:hint="eastAsia" w:ascii="仿宋_GB2312" w:hAnsi="仿宋_GB2312" w:eastAsia="仿宋_GB2312" w:cs="仿宋_GB2312"/>
                <w:sz w:val="28"/>
                <w:szCs w:val="28"/>
              </w:rPr>
              <w:t>依托省级听力保护行动管理平台和重点行业领域噪声危害数据库，总结和推广先进典型听力保护行动模式，建设听力保护示范企业。</w:t>
            </w:r>
          </w:p>
        </w:tc>
      </w:tr>
    </w:tbl>
    <w:p/>
    <w:p>
      <w:pPr>
        <w:widowControl/>
        <w:spacing w:line="560" w:lineRule="exact"/>
        <w:rPr>
          <w:rFonts w:eastAsia="仿宋_GB2312"/>
          <w:spacing w:val="-8"/>
          <w:sz w:val="32"/>
          <w:szCs w:val="20"/>
        </w:rPr>
      </w:pPr>
      <w:r>
        <w:rPr>
          <w:rFonts w:hint="eastAsia" w:eastAsia="楷体_GB2312"/>
          <w:sz w:val="32"/>
          <w:szCs w:val="32"/>
        </w:rPr>
        <w:t xml:space="preserve">   </w:t>
      </w:r>
      <w:r>
        <w:rPr>
          <w:rFonts w:hint="eastAsia" w:ascii="楷体" w:hAnsi="楷体" w:eastAsia="楷体" w:cs="楷体"/>
          <w:sz w:val="32"/>
          <w:szCs w:val="20"/>
        </w:rPr>
        <w:t xml:space="preserve"> </w:t>
      </w:r>
      <w:r>
        <w:rPr>
          <w:rFonts w:hint="eastAsia" w:ascii="楷体" w:hAnsi="楷体" w:eastAsia="楷体" w:cs="楷体"/>
          <w:spacing w:val="-8"/>
          <w:sz w:val="32"/>
          <w:szCs w:val="20"/>
        </w:rPr>
        <w:t>（二）加强职业病防治宣传教育。</w:t>
      </w:r>
      <w:r>
        <w:rPr>
          <w:rFonts w:hint="eastAsia" w:ascii="仿宋_GB2312" w:hAnsi="仿宋_GB2312" w:eastAsia="仿宋_GB2312" w:cs="仿宋_GB2312"/>
          <w:spacing w:val="-8"/>
          <w:sz w:val="32"/>
          <w:szCs w:val="20"/>
        </w:rPr>
        <w:t>广泛开展</w:t>
      </w:r>
      <w:r>
        <w:rPr>
          <w:rFonts w:eastAsia="仿宋_GB2312"/>
          <w:spacing w:val="-8"/>
          <w:sz w:val="32"/>
          <w:szCs w:val="20"/>
        </w:rPr>
        <w:t>职业病预防宣传培训</w:t>
      </w:r>
      <w:r>
        <w:rPr>
          <w:rFonts w:hint="eastAsia" w:eastAsia="仿宋_GB2312"/>
          <w:spacing w:val="-8"/>
          <w:sz w:val="32"/>
          <w:szCs w:val="20"/>
        </w:rPr>
        <w:t>，相关经费由财政、</w:t>
      </w:r>
      <w:r>
        <w:rPr>
          <w:rFonts w:eastAsia="仿宋_GB2312"/>
          <w:spacing w:val="-8"/>
          <w:sz w:val="32"/>
          <w:szCs w:val="20"/>
        </w:rPr>
        <w:t>工伤保险基金安排工伤预防费</w:t>
      </w:r>
      <w:r>
        <w:rPr>
          <w:rFonts w:hint="eastAsia" w:eastAsia="仿宋_GB2312"/>
          <w:spacing w:val="-8"/>
          <w:sz w:val="32"/>
          <w:szCs w:val="20"/>
        </w:rPr>
        <w:t>予以保障</w:t>
      </w:r>
      <w:r>
        <w:rPr>
          <w:rFonts w:eastAsia="仿宋_GB2312"/>
          <w:spacing w:val="-8"/>
          <w:sz w:val="32"/>
          <w:szCs w:val="20"/>
        </w:rPr>
        <w:t>，并鼓励和引导社会资本投入职业病防治领域</w:t>
      </w:r>
      <w:r>
        <w:rPr>
          <w:rFonts w:hint="eastAsia" w:eastAsia="仿宋_GB2312"/>
          <w:spacing w:val="-8"/>
          <w:sz w:val="32"/>
          <w:szCs w:val="20"/>
        </w:rPr>
        <w:t>。</w:t>
      </w:r>
      <w:r>
        <w:rPr>
          <w:rFonts w:eastAsia="仿宋_GB2312"/>
          <w:spacing w:val="-8"/>
          <w:sz w:val="32"/>
          <w:szCs w:val="20"/>
        </w:rPr>
        <w:t>持续开展《职业病防治法》宣传周等活动，大力开展职业健康教育和健康促进活动，在全社会营造关心关注职业健康的文化氛围</w:t>
      </w:r>
      <w:r>
        <w:rPr>
          <w:rFonts w:hint="eastAsia" w:eastAsia="仿宋_GB2312"/>
          <w:spacing w:val="-8"/>
          <w:sz w:val="32"/>
          <w:szCs w:val="20"/>
        </w:rPr>
        <w:t>，通过电视广播、新媒体、公众号等形式加强对社会公众职业健康的宣传教育，增强用人单位的职业病防治观念，提高劳动者的职业健康意识、自我保护意识和行使职业卫生保护权利的能力</w:t>
      </w:r>
      <w:r>
        <w:rPr>
          <w:rFonts w:eastAsia="仿宋_GB2312"/>
          <w:spacing w:val="-8"/>
          <w:sz w:val="32"/>
          <w:szCs w:val="20"/>
        </w:rPr>
        <w:t>。推</w:t>
      </w:r>
      <w:r>
        <w:rPr>
          <w:rFonts w:hint="eastAsia" w:eastAsia="仿宋_GB2312"/>
          <w:spacing w:val="-8"/>
          <w:sz w:val="32"/>
          <w:szCs w:val="20"/>
        </w:rPr>
        <w:t>动</w:t>
      </w:r>
      <w:r>
        <w:rPr>
          <w:rFonts w:eastAsia="仿宋_GB2312"/>
          <w:spacing w:val="-8"/>
          <w:sz w:val="32"/>
          <w:szCs w:val="20"/>
        </w:rPr>
        <w:t>将职业健康教育纳入国民教育体系，组织开展职业健康知识进企业、机构和学校等活动，普及职业健康知识，倡导健康工作方式。推动建立职业健康科普知识库。实施职业健康培训工程，加强用人单位主要负责人、职业健康管理人员培训工作，指导督促用人单位做好接触职业病危害劳动者全员培训，不断提升重点人群职业健康知识知晓率。加强医疗机构重点科室医务人员的职业病法规、职业病诊疗知识宣传培训，提升临床医务人员及时发现、报告疑似职业病和急性职业中毒事件的意识和能力。探索</w:t>
      </w:r>
      <w:r>
        <w:rPr>
          <w:rFonts w:hint="eastAsia" w:eastAsia="仿宋_GB2312"/>
          <w:spacing w:val="-8"/>
          <w:sz w:val="32"/>
          <w:szCs w:val="20"/>
        </w:rPr>
        <w:t>将</w:t>
      </w:r>
      <w:r>
        <w:rPr>
          <w:rFonts w:eastAsia="仿宋_GB2312"/>
          <w:spacing w:val="-8"/>
          <w:sz w:val="32"/>
          <w:szCs w:val="20"/>
        </w:rPr>
        <w:t>健康企业建设</w:t>
      </w:r>
      <w:r>
        <w:rPr>
          <w:rFonts w:hint="eastAsia" w:eastAsia="仿宋_GB2312"/>
          <w:spacing w:val="-8"/>
          <w:sz w:val="32"/>
          <w:szCs w:val="20"/>
        </w:rPr>
        <w:t>情况</w:t>
      </w:r>
      <w:r>
        <w:rPr>
          <w:rFonts w:eastAsia="仿宋_GB2312"/>
          <w:spacing w:val="-8"/>
          <w:sz w:val="32"/>
          <w:szCs w:val="20"/>
        </w:rPr>
        <w:t>纳入工伤保险浮动费率调整</w:t>
      </w:r>
      <w:r>
        <w:rPr>
          <w:rFonts w:hint="eastAsia" w:eastAsia="仿宋_GB2312"/>
          <w:spacing w:val="-8"/>
          <w:sz w:val="32"/>
          <w:szCs w:val="20"/>
        </w:rPr>
        <w:t>因素</w:t>
      </w:r>
      <w:r>
        <w:rPr>
          <w:rFonts w:eastAsia="仿宋_GB2312"/>
          <w:spacing w:val="-8"/>
          <w:sz w:val="32"/>
          <w:szCs w:val="20"/>
        </w:rPr>
        <w:t>，充分发挥工伤保险浮动费率在推进健康企业建设方面作用。把健康企业</w:t>
      </w:r>
      <w:r>
        <w:rPr>
          <w:rFonts w:hint="eastAsia" w:eastAsia="仿宋_GB2312"/>
          <w:spacing w:val="-8"/>
          <w:sz w:val="32"/>
          <w:szCs w:val="20"/>
        </w:rPr>
        <w:t>建设</w:t>
      </w:r>
      <w:r>
        <w:rPr>
          <w:rFonts w:eastAsia="仿宋_GB2312"/>
          <w:spacing w:val="-8"/>
          <w:sz w:val="32"/>
          <w:szCs w:val="20"/>
        </w:rPr>
        <w:t>纳入健康城市健康村镇建设</w:t>
      </w:r>
      <w:r>
        <w:rPr>
          <w:rFonts w:hint="eastAsia" w:eastAsia="仿宋_GB2312"/>
          <w:spacing w:val="-8"/>
          <w:sz w:val="32"/>
          <w:szCs w:val="20"/>
        </w:rPr>
        <w:t>内容，</w:t>
      </w:r>
      <w:r>
        <w:rPr>
          <w:rFonts w:eastAsia="仿宋_GB2312"/>
          <w:spacing w:val="-8"/>
          <w:sz w:val="32"/>
          <w:szCs w:val="20"/>
        </w:rPr>
        <w:t>研究制定重点行业领域健康企业建设指南，鼓励用人单位建立完善与劳动者健康相关的各项规章制度，建设整洁卫生、绿色环保的健康环境，开展健康知识普及，完善职业健康监护、传染病和慢病防控、心理健康辅导等健康服务，营造积极向上、和谐包容的健康文化，建设一批健康企业。</w:t>
      </w:r>
      <w:r>
        <w:rPr>
          <w:rFonts w:hint="eastAsia" w:eastAsia="仿宋_GB2312"/>
          <w:spacing w:val="-8"/>
          <w:sz w:val="32"/>
          <w:szCs w:val="20"/>
        </w:rPr>
        <w:t>加强</w:t>
      </w:r>
      <w:r>
        <w:rPr>
          <w:rFonts w:eastAsia="仿宋_GB2312"/>
          <w:spacing w:val="-8"/>
          <w:sz w:val="32"/>
          <w:szCs w:val="20"/>
        </w:rPr>
        <w:t>重点行业职业人群健康素养监测与干预</w:t>
      </w:r>
      <w:r>
        <w:rPr>
          <w:rFonts w:hint="eastAsia" w:eastAsia="仿宋_GB2312"/>
          <w:spacing w:val="-8"/>
          <w:sz w:val="32"/>
          <w:szCs w:val="20"/>
        </w:rPr>
        <w:t>，</w:t>
      </w:r>
      <w:r>
        <w:rPr>
          <w:rFonts w:eastAsia="仿宋_GB2312"/>
          <w:spacing w:val="-8"/>
          <w:sz w:val="32"/>
          <w:szCs w:val="20"/>
        </w:rPr>
        <w:t>支持鼓励矿山、冶金、化工、建材、建筑施工企业和医疗卫生机构、学校、公安、救援、交通运输等单位，</w:t>
      </w:r>
      <w:r>
        <w:rPr>
          <w:rFonts w:hint="eastAsia" w:eastAsia="仿宋_GB2312"/>
          <w:spacing w:val="-8"/>
          <w:sz w:val="32"/>
          <w:szCs w:val="20"/>
        </w:rPr>
        <w:t>积极</w:t>
      </w:r>
      <w:r>
        <w:rPr>
          <w:rFonts w:eastAsia="仿宋_GB2312"/>
          <w:spacing w:val="-8"/>
          <w:sz w:val="32"/>
          <w:szCs w:val="20"/>
        </w:rPr>
        <w:t>开展“职业健康达人”评选推荐活动，推广学习典型经验。</w:t>
      </w:r>
    </w:p>
    <w:p>
      <w:pPr>
        <w:widowControl/>
        <w:spacing w:line="560" w:lineRule="exact"/>
        <w:rPr>
          <w:rFonts w:eastAsia="仿宋_GB2312"/>
          <w:snapToGrid w:val="0"/>
          <w:kern w:val="0"/>
          <w:sz w:val="32"/>
          <w:szCs w:val="32"/>
          <w:shd w:val="clear" w:color="auto" w:fill="FFFFFF"/>
        </w:rPr>
      </w:pPr>
      <w:r>
        <w:rPr>
          <w:rFonts w:hint="eastAsia" w:eastAsia="仿宋_GB2312"/>
          <w:sz w:val="32"/>
          <w:szCs w:val="20"/>
        </w:rPr>
        <w:t xml:space="preserve">    </w:t>
      </w:r>
      <w:r>
        <w:rPr>
          <w:rFonts w:hint="eastAsia" w:ascii="楷体" w:hAnsi="楷体" w:eastAsia="楷体" w:cs="楷体"/>
          <w:sz w:val="32"/>
          <w:szCs w:val="32"/>
        </w:rPr>
        <w:t>（三）提升职业病救治保障水平。</w:t>
      </w:r>
      <w:r>
        <w:rPr>
          <w:rFonts w:eastAsia="仿宋_GB2312"/>
          <w:snapToGrid w:val="0"/>
          <w:sz w:val="32"/>
          <w:szCs w:val="32"/>
          <w:shd w:val="clear" w:color="auto" w:fill="FFFFFF"/>
        </w:rPr>
        <w:t>加强职业病及危害因素监测，完善监测政策和监测体系，</w:t>
      </w:r>
      <w:r>
        <w:rPr>
          <w:rFonts w:eastAsia="仿宋_GB2312"/>
          <w:snapToGrid w:val="0"/>
          <w:kern w:val="0"/>
          <w:sz w:val="32"/>
          <w:szCs w:val="32"/>
          <w:shd w:val="clear" w:color="auto" w:fill="FFFFFF"/>
        </w:rPr>
        <w:t>强化监测质控工作，实现监测工作与监管执法</w:t>
      </w:r>
      <w:r>
        <w:rPr>
          <w:rFonts w:hint="eastAsia" w:eastAsia="仿宋_GB2312"/>
          <w:snapToGrid w:val="0"/>
          <w:kern w:val="0"/>
          <w:sz w:val="32"/>
          <w:szCs w:val="32"/>
          <w:shd w:val="clear" w:color="auto" w:fill="FFFFFF"/>
        </w:rPr>
        <w:t>以及</w:t>
      </w:r>
      <w:r>
        <w:rPr>
          <w:rFonts w:eastAsia="仿宋_GB2312"/>
          <w:snapToGrid w:val="0"/>
          <w:kern w:val="0"/>
          <w:sz w:val="32"/>
          <w:szCs w:val="32"/>
          <w:shd w:val="clear" w:color="auto" w:fill="FFFFFF"/>
        </w:rPr>
        <w:t>用人单位整改有效联动。</w:t>
      </w:r>
      <w:r>
        <w:rPr>
          <w:rFonts w:eastAsia="仿宋_GB2312"/>
          <w:sz w:val="32"/>
          <w:szCs w:val="32"/>
        </w:rPr>
        <w:t>扩大主动监测的职业病病种，实施尘肺病筛查与随访，建立健全职业健康检查和职业病诊断基础数据库，对重点职业病开展风险评估。按照“省市诊断、省市县救治、基层康复”的原则，依托现有的医疗卫生机构建立健全职业病诊断救治康复网络，规范职业病诊断医师管理，建立职业病救治专家队伍，加大临床诊疗康复技术和药物研发力度。持续实施尘肺病等重点职业病工伤保险扩面专项行动，将尘肺病等职业病重点行业职工依法纳入工伤保险保障范围。</w:t>
      </w:r>
      <w:r>
        <w:rPr>
          <w:rFonts w:eastAsia="仿宋_GB2312"/>
          <w:snapToGrid w:val="0"/>
          <w:kern w:val="0"/>
          <w:sz w:val="32"/>
          <w:szCs w:val="32"/>
          <w:shd w:val="clear" w:color="auto" w:fill="FFFFFF"/>
        </w:rPr>
        <w:t>做好各项保障制度的有效衔接，</w:t>
      </w:r>
      <w:r>
        <w:rPr>
          <w:rFonts w:eastAsia="仿宋_GB2312"/>
          <w:sz w:val="32"/>
          <w:szCs w:val="32"/>
        </w:rPr>
        <w:t>筑牢重点职业病患者的医疗保障体系</w:t>
      </w:r>
      <w:r>
        <w:rPr>
          <w:rFonts w:eastAsia="仿宋_GB2312"/>
          <w:snapToGrid w:val="0"/>
          <w:kern w:val="0"/>
          <w:sz w:val="32"/>
          <w:szCs w:val="32"/>
          <w:shd w:val="clear" w:color="auto" w:fill="FFFFFF"/>
        </w:rPr>
        <w:t>，加大扩面力度，</w:t>
      </w:r>
      <w:r>
        <w:rPr>
          <w:rFonts w:hint="eastAsia" w:eastAsia="仿宋_GB2312"/>
          <w:snapToGrid w:val="0"/>
          <w:kern w:val="0"/>
          <w:sz w:val="32"/>
          <w:szCs w:val="32"/>
          <w:shd w:val="clear" w:color="auto" w:fill="FFFFFF"/>
        </w:rPr>
        <w:t>按规定</w:t>
      </w:r>
      <w:r>
        <w:rPr>
          <w:rFonts w:eastAsia="仿宋_GB2312"/>
          <w:snapToGrid w:val="0"/>
          <w:kern w:val="0"/>
          <w:sz w:val="32"/>
          <w:szCs w:val="32"/>
          <w:shd w:val="clear" w:color="auto" w:fill="FFFFFF"/>
        </w:rPr>
        <w:t>做好职业病患者的医疗保障。</w:t>
      </w:r>
      <w:r>
        <w:rPr>
          <w:rFonts w:eastAsia="仿宋_GB2312"/>
          <w:sz w:val="32"/>
          <w:szCs w:val="32"/>
        </w:rPr>
        <w:t>建立卫生健康、民政、人力资源社会保障、医保、工会等</w:t>
      </w:r>
      <w:r>
        <w:rPr>
          <w:rFonts w:hint="eastAsia" w:eastAsia="仿宋_GB2312"/>
          <w:sz w:val="32"/>
          <w:szCs w:val="32"/>
        </w:rPr>
        <w:t>单位</w:t>
      </w:r>
      <w:r>
        <w:rPr>
          <w:rFonts w:eastAsia="仿宋_GB2312"/>
          <w:sz w:val="32"/>
          <w:szCs w:val="32"/>
        </w:rPr>
        <w:t>信息共享和协调联动机制，及时共享新诊断的职业病患者信息，推动实现职业病治疗费用全省联网结算，依法依规落实各项工伤保险待遇。及时排查新增患者的经济困难状况，加强对符合条件职业病患者的生活救助、医疗救助，</w:t>
      </w:r>
      <w:r>
        <w:rPr>
          <w:rFonts w:eastAsia="仿宋_GB2312"/>
          <w:snapToGrid w:val="0"/>
          <w:kern w:val="0"/>
          <w:sz w:val="32"/>
          <w:szCs w:val="32"/>
          <w:shd w:val="clear" w:color="auto" w:fill="FFFFFF"/>
        </w:rPr>
        <w:t>符合条件的职业病患者家庭及时纳入最低生活保障或低收入（低保边缘、低保临界）家庭范围，对遭遇突发性、紧迫性、临时性基本生活困难的，按规定及时给予临时救助。对无法明确责任主体的尘肺病患者，落实属地责任，依法开展法律援助，按规定落实医疗救助和基本生活救助等政策。</w:t>
      </w:r>
    </w:p>
    <w:p>
      <w:pPr>
        <w:widowControl/>
        <w:spacing w:line="560" w:lineRule="exact"/>
        <w:rPr>
          <w:rFonts w:eastAsia="仿宋_GB2312"/>
          <w:snapToGrid w:val="0"/>
          <w:kern w:val="0"/>
          <w:sz w:val="32"/>
          <w:szCs w:val="32"/>
          <w:shd w:val="clear" w:color="auto" w:fill="FFFFFF"/>
        </w:rPr>
      </w:pPr>
      <w:r>
        <w:rPr>
          <w:rFonts w:hint="eastAsia" w:eastAsia="仿宋_GB2312"/>
          <w:snapToGrid w:val="0"/>
          <w:kern w:val="0"/>
          <w:sz w:val="32"/>
          <w:szCs w:val="32"/>
          <w:shd w:val="clear" w:color="auto" w:fill="FFFFFF"/>
        </w:rPr>
        <w:t xml:space="preserve">   </w:t>
      </w:r>
      <w:r>
        <w:rPr>
          <w:rFonts w:hint="eastAsia" w:ascii="楷体" w:hAnsi="楷体" w:eastAsia="楷体" w:cs="楷体"/>
          <w:sz w:val="32"/>
          <w:szCs w:val="32"/>
        </w:rPr>
        <w:t xml:space="preserve"> </w:t>
      </w:r>
      <w:r>
        <w:rPr>
          <w:rFonts w:ascii="楷体" w:hAnsi="楷体" w:eastAsia="楷体" w:cs="楷体"/>
          <w:sz w:val="32"/>
          <w:szCs w:val="32"/>
        </w:rPr>
        <w:t>（四）强化职业健康监管执法工作。</w:t>
      </w:r>
      <w:r>
        <w:rPr>
          <w:rFonts w:eastAsia="仿宋_GB2312"/>
          <w:snapToGrid w:val="0"/>
          <w:kern w:val="0"/>
          <w:sz w:val="32"/>
          <w:szCs w:val="32"/>
          <w:shd w:val="clear" w:color="auto" w:fill="FFFFFF"/>
        </w:rPr>
        <w:t>按照监管任务与监管力量相匹配的原则，</w:t>
      </w:r>
      <w:r>
        <w:rPr>
          <w:rFonts w:eastAsia="仿宋_GB2312"/>
          <w:kern w:val="21"/>
          <w:sz w:val="32"/>
          <w:szCs w:val="32"/>
        </w:rPr>
        <w:t>建立健全市、县（市、区）并向</w:t>
      </w:r>
      <w:r>
        <w:rPr>
          <w:rFonts w:eastAsia="仿宋_GB2312"/>
          <w:sz w:val="32"/>
          <w:szCs w:val="20"/>
        </w:rPr>
        <w:t>乡镇</w:t>
      </w:r>
      <w:r>
        <w:rPr>
          <w:rFonts w:eastAsia="仿宋_GB2312"/>
          <w:kern w:val="21"/>
          <w:sz w:val="32"/>
          <w:szCs w:val="32"/>
        </w:rPr>
        <w:t>（街道）延伸的职业卫生执法体系，配备必要的执法装备，提升</w:t>
      </w:r>
      <w:r>
        <w:rPr>
          <w:rFonts w:hint="eastAsia" w:eastAsia="仿宋_GB2312"/>
          <w:kern w:val="21"/>
          <w:sz w:val="32"/>
          <w:szCs w:val="32"/>
        </w:rPr>
        <w:t>职业卫生</w:t>
      </w:r>
      <w:r>
        <w:rPr>
          <w:rFonts w:eastAsia="仿宋_GB2312"/>
          <w:kern w:val="21"/>
          <w:sz w:val="32"/>
          <w:szCs w:val="32"/>
        </w:rPr>
        <w:t>执法队伍和</w:t>
      </w:r>
      <w:r>
        <w:rPr>
          <w:rFonts w:hint="eastAsia" w:eastAsia="仿宋_GB2312"/>
          <w:kern w:val="21"/>
          <w:sz w:val="32"/>
          <w:szCs w:val="32"/>
        </w:rPr>
        <w:t>执法</w:t>
      </w:r>
      <w:r>
        <w:rPr>
          <w:rFonts w:eastAsia="仿宋_GB2312"/>
          <w:kern w:val="21"/>
          <w:sz w:val="32"/>
          <w:szCs w:val="32"/>
        </w:rPr>
        <w:t>协助人员的装备水平。制订区域职业卫生监督协管员配备标准。实施执法能力提升项目，建设市级职业健康监管执法实训基地，建立健全以依法履职为核心的教育培训机制，明确市、县（市、区）级监管执法人员培训要求，加强上岗与在岗期间轮训，提升队伍专业能力和监管执法水平</w:t>
      </w:r>
      <w:r>
        <w:rPr>
          <w:rFonts w:eastAsia="仿宋_GB2312"/>
          <w:snapToGrid w:val="0"/>
          <w:kern w:val="0"/>
          <w:sz w:val="32"/>
          <w:szCs w:val="32"/>
        </w:rPr>
        <w:t>。</w:t>
      </w:r>
      <w:r>
        <w:rPr>
          <w:rFonts w:eastAsia="仿宋_GB2312"/>
          <w:kern w:val="21"/>
          <w:sz w:val="32"/>
          <w:szCs w:val="32"/>
        </w:rPr>
        <w:t>建立健全各</w:t>
      </w:r>
      <w:r>
        <w:rPr>
          <w:rFonts w:eastAsia="仿宋_GB2312"/>
          <w:sz w:val="32"/>
          <w:szCs w:val="20"/>
        </w:rPr>
        <w:t>乡镇</w:t>
      </w:r>
      <w:r>
        <w:rPr>
          <w:rFonts w:eastAsia="仿宋_GB2312"/>
          <w:kern w:val="21"/>
          <w:sz w:val="32"/>
          <w:szCs w:val="32"/>
        </w:rPr>
        <w:t>（街道）职业健康监督检查工作机制，推动未设置卫生监督机构的</w:t>
      </w:r>
      <w:r>
        <w:rPr>
          <w:rFonts w:eastAsia="仿宋_GB2312"/>
          <w:sz w:val="32"/>
          <w:szCs w:val="20"/>
        </w:rPr>
        <w:t>乡镇</w:t>
      </w:r>
      <w:r>
        <w:rPr>
          <w:rFonts w:eastAsia="仿宋_GB2312"/>
          <w:kern w:val="21"/>
          <w:sz w:val="32"/>
          <w:szCs w:val="32"/>
        </w:rPr>
        <w:t>（街道）将职业健康监督执法纳入</w:t>
      </w:r>
      <w:r>
        <w:rPr>
          <w:rFonts w:eastAsia="仿宋_GB2312"/>
          <w:sz w:val="32"/>
          <w:szCs w:val="20"/>
        </w:rPr>
        <w:t>乡镇</w:t>
      </w:r>
      <w:r>
        <w:rPr>
          <w:rFonts w:eastAsia="仿宋_GB2312"/>
          <w:kern w:val="21"/>
          <w:sz w:val="32"/>
          <w:szCs w:val="32"/>
        </w:rPr>
        <w:t>（街道）综合行政执法，加大监督执法检查力度。</w:t>
      </w:r>
      <w:r>
        <w:rPr>
          <w:rFonts w:eastAsia="仿宋_GB2312"/>
          <w:snapToGrid w:val="0"/>
          <w:kern w:val="0"/>
          <w:sz w:val="32"/>
          <w:szCs w:val="32"/>
        </w:rPr>
        <w:t>建立健全以“双随机、一公开”为基本手段的执法机制，加强存在严重职业病危害风险行业领域用人单位职业病危害项目申报、建设项目职业病防护设施“三同时”、职业病危害因素定期检测评价和职业健康检查等重点制度落实情况的专项执法。推进分类分级监管执法，探索建立互联网+监督执法、现场执法与非现场执法相结合、部门联合双随机抽查的执法模式。规范用人单位劳动用工，加强劳动合同、工作时间、工伤保险等监督管理。继续在重点行业中推行集体协商和签订劳动安全卫生专项集体合同，督促用人单位认真履行防治责任，增强劳动者职业病防范意识。督促指导国有企业率先依法落实职业病防治责任。畅通投诉举报渠道，鼓励社会监督，提升监管和执法效能。逐步建立完善职业健康不良信用记录及失信惩戒机制，严肃查处违法违规行为。</w:t>
      </w:r>
    </w:p>
    <w:p>
      <w:pPr>
        <w:widowControl/>
        <w:spacing w:line="560" w:lineRule="exact"/>
        <w:rPr>
          <w:rFonts w:eastAsia="仿宋_GB2312"/>
          <w:snapToGrid w:val="0"/>
          <w:spacing w:val="-6"/>
          <w:kern w:val="0"/>
          <w:sz w:val="32"/>
          <w:szCs w:val="32"/>
          <w:shd w:val="clear" w:color="auto" w:fill="FFFFFF"/>
        </w:rPr>
      </w:pPr>
      <w:r>
        <w:rPr>
          <w:rFonts w:hint="eastAsia" w:eastAsia="仿宋_GB2312"/>
          <w:snapToGrid w:val="0"/>
          <w:kern w:val="0"/>
          <w:sz w:val="32"/>
          <w:szCs w:val="32"/>
          <w:shd w:val="clear" w:color="auto" w:fill="FFFFFF"/>
        </w:rPr>
        <w:t xml:space="preserve">   </w:t>
      </w:r>
      <w:r>
        <w:rPr>
          <w:rFonts w:hint="eastAsia" w:ascii="楷体" w:hAnsi="楷体" w:eastAsia="楷体" w:cs="楷体"/>
          <w:sz w:val="32"/>
          <w:szCs w:val="32"/>
        </w:rPr>
        <w:t xml:space="preserve"> </w:t>
      </w:r>
      <w:r>
        <w:rPr>
          <w:rFonts w:ascii="楷体" w:hAnsi="楷体" w:eastAsia="楷体" w:cs="楷体"/>
          <w:spacing w:val="-6"/>
          <w:sz w:val="32"/>
          <w:szCs w:val="32"/>
        </w:rPr>
        <w:t>（五）健全职业病防治技术支撑体系。</w:t>
      </w:r>
      <w:r>
        <w:rPr>
          <w:rFonts w:eastAsia="仿宋_GB2312"/>
          <w:spacing w:val="-6"/>
          <w:sz w:val="32"/>
          <w:szCs w:val="32"/>
        </w:rPr>
        <w:t>健全以职业病监测评估、危害工程防护、诊断救治为主体的，覆盖市、县（市、区）二级并延伸至中心</w:t>
      </w:r>
      <w:r>
        <w:rPr>
          <w:rFonts w:eastAsia="仿宋_GB2312"/>
          <w:spacing w:val="-6"/>
          <w:sz w:val="32"/>
          <w:szCs w:val="20"/>
        </w:rPr>
        <w:t>乡镇</w:t>
      </w:r>
      <w:r>
        <w:rPr>
          <w:rFonts w:eastAsia="仿宋_GB2312"/>
          <w:spacing w:val="-6"/>
          <w:sz w:val="32"/>
          <w:szCs w:val="32"/>
        </w:rPr>
        <w:t>（街道）的三级职业病防治技术支撑网络体系，指导</w:t>
      </w:r>
      <w:r>
        <w:rPr>
          <w:rFonts w:hint="eastAsia" w:eastAsia="仿宋_GB2312"/>
          <w:spacing w:val="-6"/>
          <w:sz w:val="32"/>
          <w:szCs w:val="32"/>
        </w:rPr>
        <w:t>县级</w:t>
      </w:r>
      <w:r>
        <w:rPr>
          <w:rFonts w:eastAsia="仿宋_GB2312"/>
          <w:spacing w:val="-6"/>
          <w:sz w:val="32"/>
          <w:szCs w:val="32"/>
        </w:rPr>
        <w:t>职业病防治机构开展规范化建设和等级评审。以疾病预防控制机构、职业病防治所为主干，</w:t>
      </w:r>
      <w:r>
        <w:rPr>
          <w:rFonts w:hint="eastAsia" w:eastAsia="仿宋_GB2312"/>
          <w:spacing w:val="-6"/>
          <w:sz w:val="32"/>
          <w:szCs w:val="32"/>
        </w:rPr>
        <w:t>配合江门市</w:t>
      </w:r>
      <w:r>
        <w:rPr>
          <w:rFonts w:eastAsia="仿宋_GB2312"/>
          <w:spacing w:val="-6"/>
          <w:sz w:val="32"/>
          <w:szCs w:val="32"/>
        </w:rPr>
        <w:t>完善“市、县（市、区）”二级职业病及危害因素监测与风险评估技术支撑网络。</w:t>
      </w:r>
      <w:r>
        <w:rPr>
          <w:rFonts w:hint="eastAsia" w:eastAsia="仿宋_GB2312"/>
          <w:spacing w:val="-6"/>
          <w:sz w:val="32"/>
          <w:szCs w:val="32"/>
        </w:rPr>
        <w:t>深化</w:t>
      </w:r>
      <w:r>
        <w:rPr>
          <w:rFonts w:eastAsia="仿宋_GB2312"/>
          <w:spacing w:val="-6"/>
          <w:sz w:val="32"/>
          <w:szCs w:val="32"/>
        </w:rPr>
        <w:t>公立机构承担防治技术支撑</w:t>
      </w:r>
      <w:r>
        <w:rPr>
          <w:rFonts w:hint="eastAsia" w:eastAsia="仿宋_GB2312"/>
          <w:spacing w:val="-6"/>
          <w:sz w:val="32"/>
          <w:szCs w:val="32"/>
        </w:rPr>
        <w:t>能力</w:t>
      </w:r>
      <w:r>
        <w:rPr>
          <w:rFonts w:eastAsia="仿宋_GB2312"/>
          <w:spacing w:val="-6"/>
          <w:sz w:val="32"/>
          <w:szCs w:val="32"/>
        </w:rPr>
        <w:t>，继续强化辖区核化应急中心建设。推动将重点职业病监测、职业健康宣传教育与健康促进等纳入</w:t>
      </w:r>
      <w:r>
        <w:rPr>
          <w:rFonts w:eastAsia="仿宋_GB2312"/>
          <w:spacing w:val="-6"/>
          <w:sz w:val="32"/>
          <w:szCs w:val="20"/>
        </w:rPr>
        <w:t>乡镇</w:t>
      </w:r>
      <w:r>
        <w:rPr>
          <w:rFonts w:eastAsia="仿宋_GB2312"/>
          <w:spacing w:val="-6"/>
          <w:sz w:val="32"/>
          <w:szCs w:val="32"/>
        </w:rPr>
        <w:t>（街道）卫生院、社区卫生服务中心工作职责。鼓励引导社会力量参与职业卫生技术服务。加强职业病防治服务质量控制，落实职业卫生技术服务机构违规不良行为记分管理制度，对存在违规不良行为严重的职业卫生技术服务机构实施重点监管，推动形成布局合理、服务规范的技术服务体系。</w:t>
      </w:r>
    </w:p>
    <w:p>
      <w:pPr>
        <w:widowControl/>
        <w:spacing w:line="560" w:lineRule="exact"/>
        <w:rPr>
          <w:rFonts w:eastAsia="仿宋_GB2312"/>
          <w:spacing w:val="-6"/>
          <w:kern w:val="21"/>
          <w:sz w:val="32"/>
          <w:szCs w:val="32"/>
        </w:rPr>
      </w:pPr>
      <w:r>
        <w:rPr>
          <w:rFonts w:hint="eastAsia" w:eastAsia="仿宋_GB2312"/>
          <w:snapToGrid w:val="0"/>
          <w:kern w:val="0"/>
          <w:sz w:val="32"/>
          <w:szCs w:val="32"/>
          <w:shd w:val="clear" w:color="auto" w:fill="FFFFFF"/>
        </w:rPr>
        <w:t xml:space="preserve">    </w:t>
      </w:r>
      <w:r>
        <w:rPr>
          <w:rFonts w:ascii="楷体" w:hAnsi="楷体" w:eastAsia="楷体" w:cs="楷体"/>
          <w:spacing w:val="-6"/>
          <w:sz w:val="32"/>
          <w:szCs w:val="32"/>
        </w:rPr>
        <w:t>（六）加强职业健康人才队伍建设。</w:t>
      </w:r>
      <w:r>
        <w:rPr>
          <w:rFonts w:hint="eastAsia" w:eastAsia="仿宋_GB2312"/>
          <w:spacing w:val="-6"/>
          <w:kern w:val="21"/>
          <w:sz w:val="32"/>
          <w:szCs w:val="32"/>
        </w:rPr>
        <w:t>完善</w:t>
      </w:r>
      <w:r>
        <w:rPr>
          <w:rFonts w:eastAsia="仿宋_GB2312"/>
          <w:spacing w:val="-6"/>
          <w:kern w:val="21"/>
          <w:sz w:val="32"/>
          <w:szCs w:val="32"/>
        </w:rPr>
        <w:t>职业健康人才培养体系，实施职业健康监管、放射卫生监管和职业健康技术、放射卫生技术、卫生工程技术、诊断救治技术人才梯队培训。</w:t>
      </w:r>
      <w:r>
        <w:rPr>
          <w:rFonts w:eastAsia="仿宋_GB2312"/>
          <w:spacing w:val="-6"/>
          <w:sz w:val="32"/>
          <w:szCs w:val="32"/>
        </w:rPr>
        <w:t>鼓励和支持相关高等院校加强职业健康相关</w:t>
      </w:r>
      <w:r>
        <w:rPr>
          <w:rFonts w:hint="eastAsia" w:eastAsia="仿宋_GB2312"/>
          <w:spacing w:val="-6"/>
          <w:sz w:val="32"/>
          <w:szCs w:val="32"/>
        </w:rPr>
        <w:t>课程和知识比例，</w:t>
      </w:r>
      <w:r>
        <w:rPr>
          <w:rFonts w:eastAsia="仿宋_GB2312"/>
          <w:spacing w:val="-6"/>
          <w:sz w:val="32"/>
          <w:szCs w:val="32"/>
        </w:rPr>
        <w:t>鼓励临床医学专业普及职业医学知识。人力资源社会保障部门会同卫生健康部门畅通职业健康工程专业技术人才职业发展通道，将职业健康相关专业纳入我市卫生健康专业人员职称评审范围，社会办医卫生专业技术人员在职称申报、评审方面与公立医疗机构卫生专业技术人员享有同等待遇，不受户籍、人事档案、经营主体等限制。</w:t>
      </w:r>
      <w:r>
        <w:rPr>
          <w:rFonts w:eastAsia="仿宋_GB2312"/>
          <w:spacing w:val="-6"/>
          <w:kern w:val="21"/>
          <w:sz w:val="32"/>
          <w:szCs w:val="32"/>
        </w:rPr>
        <w:t>将职业健康课程纳入卫生系列专业技术人员继续教育必修课项目。健全完善职业健康专家库，加强专家能力建设与考评机制。</w:t>
      </w:r>
      <w:r>
        <w:rPr>
          <w:rFonts w:hint="eastAsia" w:eastAsia="仿宋_GB2312"/>
          <w:spacing w:val="-6"/>
          <w:kern w:val="21"/>
          <w:sz w:val="32"/>
          <w:szCs w:val="32"/>
        </w:rPr>
        <w:t>配合</w:t>
      </w:r>
      <w:r>
        <w:rPr>
          <w:rFonts w:eastAsia="仿宋_GB2312"/>
          <w:spacing w:val="-6"/>
          <w:sz w:val="32"/>
          <w:szCs w:val="32"/>
        </w:rPr>
        <w:t>建立市级职业病康复专家库，定期对职业病康复机构（含康复站点）进行临床技术指导和质量抽查。</w:t>
      </w:r>
    </w:p>
    <w:p>
      <w:pPr>
        <w:widowControl/>
        <w:spacing w:line="300" w:lineRule="exact"/>
        <w:rPr>
          <w:rFonts w:eastAsia="仿宋_GB2312"/>
          <w:spacing w:val="-6"/>
          <w:kern w:val="21"/>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l2br w:val="nil"/>
              <w:tr2bl w:val="nil"/>
            </w:tcBorders>
          </w:tcPr>
          <w:p>
            <w:pPr>
              <w:spacing w:before="156" w:beforeLines="50" w:after="156" w:afterLines="50" w:line="320" w:lineRule="exact"/>
              <w:jc w:val="center"/>
              <w:rPr>
                <w:b/>
                <w:kern w:val="0"/>
                <w:sz w:val="28"/>
                <w:szCs w:val="28"/>
              </w:rPr>
            </w:pPr>
            <w:r>
              <w:rPr>
                <w:rFonts w:hint="eastAsia" w:ascii="黑体" w:hAnsi="黑体" w:eastAsia="黑体" w:cs="黑体"/>
                <w:bCs/>
                <w:kern w:val="0"/>
                <w:sz w:val="28"/>
                <w:szCs w:val="28"/>
              </w:rPr>
              <w:t>★专栏3 职业病防治体系能力建设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jc w:val="center"/>
        </w:trPr>
        <w:tc>
          <w:tcPr>
            <w:tcW w:w="9060" w:type="dxa"/>
            <w:tcBorders>
              <w:tl2br w:val="nil"/>
              <w:tr2bl w:val="nil"/>
            </w:tcBorders>
            <w:vAlign w:val="center"/>
          </w:tcPr>
          <w:p>
            <w:pPr>
              <w:widowControl/>
              <w:spacing w:line="380" w:lineRule="exact"/>
              <w:rPr>
                <w:rFonts w:eastAsia="仿宋_GB2312"/>
                <w:kern w:val="0"/>
                <w:sz w:val="28"/>
                <w:szCs w:val="28"/>
              </w:rPr>
            </w:pPr>
            <w:r>
              <w:rPr>
                <w:rFonts w:hint="eastAsia" w:ascii="仿宋_GB2312" w:hAnsi="仿宋_GB2312" w:eastAsia="仿宋_GB2312" w:cs="仿宋_GB2312"/>
                <w:kern w:val="0"/>
                <w:sz w:val="28"/>
                <w:szCs w:val="28"/>
              </w:rPr>
              <w:t xml:space="preserve"> </w:t>
            </w:r>
            <w:r>
              <w:rPr>
                <w:rFonts w:eastAsia="仿宋_GB2312"/>
                <w:kern w:val="0"/>
                <w:sz w:val="28"/>
                <w:szCs w:val="28"/>
              </w:rPr>
              <w:t xml:space="preserve">  </w:t>
            </w:r>
            <w:r>
              <w:rPr>
                <w:rFonts w:eastAsia="仿宋_GB2312"/>
                <w:b/>
                <w:bCs/>
                <w:kern w:val="0"/>
                <w:sz w:val="28"/>
                <w:szCs w:val="28"/>
              </w:rPr>
              <w:t xml:space="preserve"> 建设目标：</w:t>
            </w:r>
            <w:r>
              <w:rPr>
                <w:rFonts w:eastAsia="仿宋_GB2312"/>
                <w:kern w:val="0"/>
                <w:sz w:val="28"/>
                <w:szCs w:val="28"/>
              </w:rPr>
              <w:t>建立职业卫生技术支撑与监督执法联合工作机制。聚焦全市职业病防治需求和长远发展，强化突发职业卫生事件应急管理</w:t>
            </w:r>
            <w:r>
              <w:rPr>
                <w:rFonts w:hint="eastAsia" w:eastAsia="仿宋_GB2312"/>
                <w:kern w:val="0"/>
                <w:sz w:val="28"/>
                <w:szCs w:val="28"/>
              </w:rPr>
              <w:t>，</w:t>
            </w:r>
            <w:r>
              <w:rPr>
                <w:rFonts w:eastAsia="仿宋_GB2312"/>
                <w:kern w:val="0"/>
                <w:sz w:val="28"/>
                <w:szCs w:val="28"/>
              </w:rPr>
              <w:t>提升风险监控和预测预警效能及突发事件应急处置能力。</w:t>
            </w:r>
          </w:p>
          <w:p>
            <w:pPr>
              <w:widowControl/>
              <w:spacing w:line="380" w:lineRule="exact"/>
              <w:rPr>
                <w:rFonts w:eastAsia="仿宋_GB2312"/>
                <w:kern w:val="0"/>
                <w:sz w:val="28"/>
                <w:szCs w:val="28"/>
              </w:rPr>
            </w:pPr>
            <w:r>
              <w:rPr>
                <w:rFonts w:eastAsia="仿宋_GB2312"/>
                <w:kern w:val="0"/>
                <w:sz w:val="28"/>
                <w:szCs w:val="28"/>
              </w:rPr>
              <w:t xml:space="preserve">   </w:t>
            </w:r>
            <w:r>
              <w:rPr>
                <w:rFonts w:eastAsia="仿宋_GB2312"/>
                <w:b/>
                <w:bCs/>
                <w:kern w:val="0"/>
                <w:sz w:val="28"/>
                <w:szCs w:val="28"/>
              </w:rPr>
              <w:t xml:space="preserve"> 建设内容：</w:t>
            </w:r>
            <w:r>
              <w:rPr>
                <w:rFonts w:eastAsia="仿宋_GB2312"/>
                <w:kern w:val="0"/>
                <w:sz w:val="28"/>
                <w:szCs w:val="28"/>
              </w:rPr>
              <w:t xml:space="preserve"> </w:t>
            </w:r>
          </w:p>
          <w:p>
            <w:pPr>
              <w:widowControl/>
              <w:spacing w:line="380" w:lineRule="exact"/>
              <w:rPr>
                <w:rFonts w:eastAsia="仿宋_GB2312"/>
                <w:kern w:val="0"/>
                <w:sz w:val="28"/>
                <w:szCs w:val="28"/>
              </w:rPr>
            </w:pPr>
            <w:r>
              <w:rPr>
                <w:rFonts w:eastAsia="仿宋_GB2312"/>
                <w:kern w:val="0"/>
                <w:sz w:val="28"/>
                <w:szCs w:val="28"/>
              </w:rPr>
              <w:t xml:space="preserve">    1.制定市、县（市、区）与各</w:t>
            </w:r>
            <w:r>
              <w:rPr>
                <w:rFonts w:eastAsia="仿宋_GB2312"/>
                <w:kern w:val="0"/>
                <w:sz w:val="32"/>
                <w:szCs w:val="20"/>
              </w:rPr>
              <w:t>乡镇</w:t>
            </w:r>
            <w:r>
              <w:rPr>
                <w:rFonts w:eastAsia="仿宋_GB2312"/>
                <w:kern w:val="0"/>
                <w:sz w:val="28"/>
                <w:szCs w:val="28"/>
              </w:rPr>
              <w:t>（街道）三级职业卫生技术人员与卫生监督人员联合监督检查常态化机制与工作制度。</w:t>
            </w:r>
          </w:p>
          <w:p>
            <w:pPr>
              <w:spacing w:line="380" w:lineRule="exact"/>
              <w:ind w:firstLine="560" w:firstLineChars="200"/>
              <w:rPr>
                <w:rFonts w:eastAsia="仿宋_GB2312"/>
                <w:kern w:val="0"/>
                <w:sz w:val="28"/>
                <w:szCs w:val="28"/>
              </w:rPr>
            </w:pPr>
            <w:r>
              <w:rPr>
                <w:rFonts w:hint="eastAsia" w:eastAsia="仿宋_GB2312"/>
                <w:kern w:val="0"/>
                <w:sz w:val="28"/>
                <w:szCs w:val="28"/>
              </w:rPr>
              <w:t>2</w:t>
            </w:r>
            <w:r>
              <w:rPr>
                <w:rFonts w:eastAsia="仿宋_GB2312"/>
                <w:kern w:val="0"/>
                <w:sz w:val="28"/>
                <w:szCs w:val="28"/>
              </w:rPr>
              <w:t>.依托省职业病防治院，完善有毒有害化学物质毒性数据库，探索构建成分不明化学物质毒性快速筛查评估体系，强化突发职业卫生事件应急管理，提升风险监控和预测预警效能及应急处置能力。</w:t>
            </w:r>
          </w:p>
          <w:p>
            <w:pPr>
              <w:spacing w:line="380" w:lineRule="exact"/>
              <w:ind w:firstLine="562" w:firstLineChars="200"/>
              <w:rPr>
                <w:rFonts w:eastAsia="楷体"/>
                <w:kern w:val="0"/>
                <w:sz w:val="28"/>
                <w:szCs w:val="28"/>
              </w:rPr>
            </w:pPr>
            <w:r>
              <w:rPr>
                <w:rFonts w:eastAsia="仿宋_GB2312"/>
                <w:b/>
                <w:kern w:val="0"/>
                <w:sz w:val="28"/>
                <w:szCs w:val="28"/>
              </w:rPr>
              <w:t>预期</w:t>
            </w:r>
            <w:r>
              <w:rPr>
                <w:rFonts w:hint="eastAsia" w:eastAsia="仿宋_GB2312"/>
                <w:b/>
                <w:kern w:val="0"/>
                <w:sz w:val="28"/>
                <w:szCs w:val="28"/>
              </w:rPr>
              <w:t>效果</w:t>
            </w:r>
            <w:r>
              <w:rPr>
                <w:rFonts w:eastAsia="仿宋_GB2312"/>
                <w:b/>
                <w:kern w:val="0"/>
                <w:sz w:val="28"/>
                <w:szCs w:val="28"/>
              </w:rPr>
              <w:t>：</w:t>
            </w:r>
            <w:r>
              <w:rPr>
                <w:rFonts w:eastAsia="仿宋_GB2312"/>
                <w:kern w:val="0"/>
                <w:sz w:val="28"/>
                <w:szCs w:val="28"/>
              </w:rPr>
              <w:t>职业卫生监督、职业病监测评估、职业病诊断救治与康复</w:t>
            </w:r>
            <w:r>
              <w:rPr>
                <w:rFonts w:hint="eastAsia" w:eastAsia="仿宋_GB2312"/>
                <w:kern w:val="0"/>
                <w:sz w:val="28"/>
                <w:szCs w:val="28"/>
              </w:rPr>
              <w:t>三</w:t>
            </w:r>
            <w:r>
              <w:rPr>
                <w:rFonts w:eastAsia="仿宋_GB2312"/>
                <w:kern w:val="0"/>
                <w:sz w:val="28"/>
                <w:szCs w:val="28"/>
              </w:rPr>
              <w:t>大技术支撑网络基本建成，技术支撑能力进一步提升。</w:t>
            </w:r>
          </w:p>
        </w:tc>
      </w:tr>
    </w:tbl>
    <w:p>
      <w:pPr>
        <w:widowControl/>
        <w:spacing w:line="560" w:lineRule="exact"/>
        <w:rPr>
          <w:rFonts w:eastAsia="仿宋_GB2312"/>
          <w:sz w:val="32"/>
          <w:szCs w:val="20"/>
        </w:rPr>
      </w:pPr>
      <w:r>
        <w:rPr>
          <w:rFonts w:hint="eastAsia" w:eastAsia="仿宋_GB2312"/>
          <w:sz w:val="32"/>
          <w:szCs w:val="20"/>
        </w:rPr>
        <w:t xml:space="preserve">    </w:t>
      </w:r>
      <w:r>
        <w:rPr>
          <w:rFonts w:hint="eastAsia" w:ascii="楷体" w:hAnsi="楷体" w:eastAsia="楷体" w:cs="楷体"/>
          <w:sz w:val="32"/>
          <w:szCs w:val="32"/>
        </w:rPr>
        <w:t>（七）加强职业健康信息化建设。</w:t>
      </w:r>
      <w:r>
        <w:rPr>
          <w:rFonts w:eastAsia="仿宋_GB2312"/>
          <w:sz w:val="32"/>
          <w:szCs w:val="20"/>
        </w:rPr>
        <w:t>将职业健康信息化工作纳入全民健康保障信息化工程，推进业务融合、数据融合，实现跨层级、跨地域、跨部门的协同管理和服务。</w:t>
      </w:r>
      <w:r>
        <w:rPr>
          <w:rFonts w:eastAsia="仿宋_GB2312"/>
          <w:sz w:val="32"/>
          <w:szCs w:val="32"/>
        </w:rPr>
        <w:t>依托广东省全民健康信息综合管理平台，</w:t>
      </w:r>
      <w:r>
        <w:rPr>
          <w:rFonts w:eastAsia="仿宋_GB2312"/>
          <w:sz w:val="32"/>
          <w:szCs w:val="20"/>
        </w:rPr>
        <w:t>建设覆盖全市的职业病防治信息系统，充分整合现有职业健康信息平台和数据资源，实现职业病危害项目申报、职业病及危害因素监测、职业卫生检测评价、职业健康检查、职业病诊断与报告、职业卫生监督执法、应急救援等信息的互联互通。市级卫生健康、发展改革、工业和信息化、民政、人力资源社会保障、生态环境、应急管理、公安、税务、市场监管、医保、银保监、工会等</w:t>
      </w:r>
      <w:r>
        <w:rPr>
          <w:rFonts w:hint="eastAsia" w:eastAsia="仿宋_GB2312"/>
          <w:sz w:val="32"/>
          <w:szCs w:val="20"/>
        </w:rPr>
        <w:t>部门</w:t>
      </w:r>
      <w:r>
        <w:rPr>
          <w:rFonts w:eastAsia="仿宋_GB2312"/>
          <w:sz w:val="32"/>
          <w:szCs w:val="20"/>
        </w:rPr>
        <w:t>要依托市政务大数据中心，加强信息共享机制，推动实现职业健康相关信息的协调联动。按照便民利企、优化服务的要求，大力实施“互联网＋职业健康服务”。规范职业健康信息管理，升级职业健康检查系统</w:t>
      </w:r>
      <w:r>
        <w:rPr>
          <w:rFonts w:hint="eastAsia" w:eastAsia="仿宋_GB2312"/>
          <w:sz w:val="32"/>
          <w:szCs w:val="20"/>
        </w:rPr>
        <w:t>，</w:t>
      </w:r>
      <w:r>
        <w:rPr>
          <w:rFonts w:eastAsia="仿宋_GB2312"/>
          <w:sz w:val="32"/>
          <w:szCs w:val="20"/>
        </w:rPr>
        <w:t>提高数据共享效率</w:t>
      </w:r>
      <w:r>
        <w:rPr>
          <w:rFonts w:hint="eastAsia" w:eastAsia="仿宋_GB2312"/>
          <w:sz w:val="32"/>
          <w:szCs w:val="20"/>
        </w:rPr>
        <w:t>，</w:t>
      </w:r>
      <w:r>
        <w:rPr>
          <w:rFonts w:eastAsia="仿宋_GB2312"/>
          <w:sz w:val="32"/>
          <w:szCs w:val="20"/>
        </w:rPr>
        <w:t>并保障数据安全。强化数据统计与分析，充分发挥数据在职业健康监管决策中的作用。鼓励和支持用人单位加强信息化建设，提升职业健康管理水平。</w:t>
      </w:r>
    </w:p>
    <w:p>
      <w:pPr>
        <w:widowControl/>
        <w:spacing w:line="300" w:lineRule="exact"/>
        <w:rPr>
          <w:rFonts w:eastAsia="仿宋_GB2312"/>
          <w:sz w:val="32"/>
          <w:szCs w:val="20"/>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060" w:type="dxa"/>
            <w:tcBorders>
              <w:tl2br w:val="nil"/>
              <w:tr2bl w:val="nil"/>
            </w:tcBorders>
          </w:tcPr>
          <w:p>
            <w:pPr>
              <w:spacing w:before="156" w:beforeLines="50" w:after="156" w:afterLines="50" w:line="500" w:lineRule="exact"/>
              <w:jc w:val="center"/>
              <w:rPr>
                <w:rFonts w:eastAsia="仿宋_GB2312"/>
                <w:b/>
                <w:kern w:val="0"/>
                <w:sz w:val="28"/>
                <w:szCs w:val="28"/>
              </w:rPr>
            </w:pPr>
            <w:r>
              <w:rPr>
                <w:rFonts w:hint="eastAsia" w:ascii="黑体" w:hAnsi="黑体" w:eastAsia="黑体" w:cs="黑体"/>
                <w:bCs/>
                <w:kern w:val="0"/>
                <w:sz w:val="28"/>
                <w:szCs w:val="28"/>
              </w:rPr>
              <w:t>★专栏4 全</w:t>
            </w:r>
            <w:r>
              <w:rPr>
                <w:rFonts w:ascii="黑体" w:hAnsi="黑体" w:eastAsia="黑体" w:cs="黑体"/>
                <w:bCs/>
                <w:kern w:val="0"/>
                <w:sz w:val="28"/>
                <w:szCs w:val="28"/>
              </w:rPr>
              <w:t>市</w:t>
            </w:r>
            <w:r>
              <w:rPr>
                <w:rFonts w:hint="eastAsia" w:ascii="黑体" w:hAnsi="黑体" w:eastAsia="黑体" w:cs="黑体"/>
                <w:bCs/>
                <w:kern w:val="0"/>
                <w:sz w:val="28"/>
                <w:szCs w:val="28"/>
              </w:rPr>
              <w:t>职业健康管理信息平台建设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9060" w:type="dxa"/>
            <w:tcBorders>
              <w:tl2br w:val="nil"/>
              <w:tr2bl w:val="nil"/>
            </w:tcBorders>
          </w:tcPr>
          <w:p>
            <w:pPr>
              <w:spacing w:line="440" w:lineRule="exact"/>
              <w:ind w:firstLine="562" w:firstLineChars="200"/>
              <w:rPr>
                <w:rFonts w:eastAsia="仿宋_GB2312"/>
                <w:kern w:val="0"/>
                <w:sz w:val="28"/>
                <w:szCs w:val="28"/>
              </w:rPr>
            </w:pPr>
            <w:r>
              <w:rPr>
                <w:rFonts w:eastAsia="仿宋_GB2312"/>
                <w:b/>
                <w:kern w:val="0"/>
                <w:sz w:val="28"/>
                <w:szCs w:val="28"/>
              </w:rPr>
              <w:t>建设目标：</w:t>
            </w:r>
            <w:r>
              <w:rPr>
                <w:rFonts w:eastAsia="仿宋_GB2312"/>
                <w:kern w:val="0"/>
                <w:sz w:val="28"/>
                <w:szCs w:val="28"/>
              </w:rPr>
              <w:t>基本建成覆盖市、县（市、区），对接国家、省的职业健康信息系统，实现职业健康信息的上下联动、横向联通和动态管理，不断提高职业病危害风险监测预警、智能决策的支持能力，推进实现职业健康治理的信息化和现代化。</w:t>
            </w:r>
          </w:p>
          <w:p>
            <w:pPr>
              <w:spacing w:line="440" w:lineRule="exact"/>
              <w:ind w:firstLine="562" w:firstLineChars="200"/>
              <w:rPr>
                <w:rFonts w:eastAsia="仿宋_GB2312"/>
                <w:kern w:val="0"/>
                <w:sz w:val="28"/>
                <w:szCs w:val="28"/>
              </w:rPr>
            </w:pPr>
            <w:r>
              <w:rPr>
                <w:rFonts w:eastAsia="仿宋_GB2312"/>
                <w:b/>
                <w:kern w:val="0"/>
                <w:sz w:val="28"/>
                <w:szCs w:val="28"/>
              </w:rPr>
              <w:t>建设原则：</w:t>
            </w:r>
            <w:r>
              <w:rPr>
                <w:rFonts w:eastAsia="仿宋_GB2312"/>
                <w:kern w:val="0"/>
                <w:sz w:val="28"/>
                <w:szCs w:val="28"/>
              </w:rPr>
              <w:t>坚持统一规划，统一标准</w:t>
            </w:r>
            <w:r>
              <w:rPr>
                <w:rFonts w:hint="eastAsia" w:eastAsia="仿宋_GB2312"/>
                <w:kern w:val="0"/>
                <w:sz w:val="28"/>
                <w:szCs w:val="28"/>
              </w:rPr>
              <w:t>；</w:t>
            </w:r>
            <w:r>
              <w:rPr>
                <w:rFonts w:eastAsia="仿宋_GB2312"/>
                <w:kern w:val="0"/>
                <w:sz w:val="28"/>
                <w:szCs w:val="28"/>
              </w:rPr>
              <w:t>坚持业务引导，功能完备；坚持汇聚信息、共建共享；坚持安全规范，兼容拓展。</w:t>
            </w:r>
          </w:p>
          <w:p>
            <w:pPr>
              <w:spacing w:line="440" w:lineRule="exact"/>
              <w:ind w:firstLine="562" w:firstLineChars="200"/>
              <w:rPr>
                <w:rFonts w:eastAsia="仿宋_GB2312"/>
                <w:b/>
                <w:kern w:val="0"/>
                <w:sz w:val="28"/>
                <w:szCs w:val="28"/>
              </w:rPr>
            </w:pPr>
            <w:r>
              <w:rPr>
                <w:rFonts w:eastAsia="仿宋_GB2312"/>
                <w:b/>
                <w:kern w:val="0"/>
                <w:sz w:val="28"/>
                <w:szCs w:val="28"/>
              </w:rPr>
              <w:t>建设内容：</w:t>
            </w:r>
          </w:p>
          <w:p>
            <w:pPr>
              <w:spacing w:line="440" w:lineRule="exact"/>
              <w:ind w:firstLine="560" w:firstLineChars="200"/>
              <w:rPr>
                <w:rFonts w:eastAsia="仿宋_GB2312"/>
                <w:kern w:val="0"/>
                <w:sz w:val="28"/>
                <w:szCs w:val="28"/>
              </w:rPr>
            </w:pPr>
            <w:r>
              <w:rPr>
                <w:rFonts w:eastAsia="仿宋_GB2312"/>
                <w:kern w:val="0"/>
                <w:sz w:val="28"/>
                <w:szCs w:val="28"/>
              </w:rPr>
              <w:t>1.依托广东省全民健康信息综合管理平台，完善互联网+职业健康管理平台，建立全市职业健康基础数据库，加强数据综合分析和应用，构建职业病危害风险分类分级、预测预警体系。</w:t>
            </w:r>
          </w:p>
          <w:p>
            <w:pPr>
              <w:spacing w:line="440" w:lineRule="exact"/>
              <w:ind w:firstLine="560" w:firstLineChars="200"/>
              <w:rPr>
                <w:rFonts w:eastAsia="仿宋_GB2312"/>
                <w:kern w:val="0"/>
                <w:sz w:val="28"/>
                <w:szCs w:val="28"/>
              </w:rPr>
            </w:pPr>
            <w:r>
              <w:rPr>
                <w:rFonts w:eastAsia="仿宋_GB2312"/>
                <w:kern w:val="0"/>
                <w:sz w:val="28"/>
                <w:szCs w:val="28"/>
              </w:rPr>
              <w:t>2.开发集远程中毒急救医疗指导、职业健康检查、职业病诊疗等功能于一体的职业健康监护与诊疗救治平台。开发职业性化学中毒和核辐射事故等突发事件卫生应急关键技术信息系统。</w:t>
            </w:r>
          </w:p>
          <w:p>
            <w:pPr>
              <w:spacing w:line="440" w:lineRule="exact"/>
              <w:ind w:firstLine="562" w:firstLineChars="200"/>
              <w:rPr>
                <w:rFonts w:eastAsia="仿宋_GB2312"/>
                <w:kern w:val="0"/>
                <w:sz w:val="28"/>
                <w:szCs w:val="28"/>
              </w:rPr>
            </w:pPr>
            <w:r>
              <w:rPr>
                <w:rFonts w:eastAsia="仿宋_GB2312"/>
                <w:b/>
                <w:kern w:val="0"/>
                <w:sz w:val="28"/>
                <w:szCs w:val="28"/>
              </w:rPr>
              <w:t>预期</w:t>
            </w:r>
            <w:r>
              <w:rPr>
                <w:rFonts w:hint="eastAsia" w:eastAsia="仿宋_GB2312"/>
                <w:b/>
                <w:kern w:val="0"/>
                <w:sz w:val="28"/>
                <w:szCs w:val="28"/>
              </w:rPr>
              <w:t>效果</w:t>
            </w:r>
            <w:r>
              <w:rPr>
                <w:rFonts w:eastAsia="仿宋_GB2312"/>
                <w:b/>
                <w:kern w:val="0"/>
                <w:sz w:val="28"/>
                <w:szCs w:val="28"/>
              </w:rPr>
              <w:t>：</w:t>
            </w:r>
            <w:r>
              <w:rPr>
                <w:rFonts w:eastAsia="仿宋_GB2312"/>
                <w:kern w:val="0"/>
                <w:sz w:val="28"/>
                <w:szCs w:val="28"/>
              </w:rPr>
              <w:t>完善互联网+职业病防治与职业健康管理平台，建立全市职业健康基础数据库，建立职业健康风险评估信息系统。</w:t>
            </w:r>
          </w:p>
        </w:tc>
      </w:tr>
    </w:tbl>
    <w:p>
      <w:pPr>
        <w:widowControl/>
        <w:spacing w:line="300" w:lineRule="exact"/>
        <w:jc w:val="left"/>
        <w:rPr>
          <w:rFonts w:ascii="楷体_GB2312" w:hAnsi="楷体_GB2312" w:eastAsia="楷体_GB2312" w:cs="楷体_GB2312"/>
          <w:sz w:val="32"/>
          <w:szCs w:val="20"/>
        </w:rPr>
      </w:pPr>
      <w:r>
        <w:rPr>
          <w:rFonts w:hint="eastAsia" w:ascii="楷体_GB2312" w:hAnsi="楷体_GB2312" w:eastAsia="楷体_GB2312" w:cs="楷体_GB2312"/>
          <w:sz w:val="32"/>
          <w:szCs w:val="20"/>
        </w:rPr>
        <w:t xml:space="preserve">    </w:t>
      </w:r>
    </w:p>
    <w:p>
      <w:pPr>
        <w:widowControl/>
        <w:spacing w:line="560" w:lineRule="exact"/>
        <w:ind w:firstLine="640" w:firstLineChars="200"/>
        <w:outlineLvl w:val="0"/>
        <w:rPr>
          <w:rFonts w:eastAsia="仿宋_GB2312"/>
          <w:sz w:val="32"/>
          <w:szCs w:val="20"/>
        </w:rPr>
      </w:pPr>
      <w:r>
        <w:rPr>
          <w:rFonts w:hint="eastAsia" w:ascii="黑体" w:hAnsi="黑体" w:eastAsia="黑体" w:cs="黑体"/>
          <w:sz w:val="32"/>
          <w:szCs w:val="20"/>
        </w:rPr>
        <w:t>四、保障措施</w:t>
      </w:r>
    </w:p>
    <w:p>
      <w:pPr>
        <w:widowControl/>
        <w:spacing w:line="560" w:lineRule="exact"/>
        <w:rPr>
          <w:rFonts w:eastAsia="仿宋_GB2312"/>
          <w:snapToGrid w:val="0"/>
          <w:kern w:val="0"/>
          <w:sz w:val="32"/>
          <w:szCs w:val="32"/>
          <w:shd w:val="clear" w:color="auto" w:fill="FFFFFF"/>
        </w:rPr>
      </w:pPr>
      <w:r>
        <w:rPr>
          <w:rFonts w:hint="eastAsia" w:eastAsia="楷体_GB2312"/>
          <w:bCs/>
          <w:sz w:val="32"/>
          <w:szCs w:val="32"/>
        </w:rPr>
        <w:t xml:space="preserve">   </w:t>
      </w:r>
      <w:r>
        <w:rPr>
          <w:rFonts w:hint="eastAsia" w:ascii="楷体" w:hAnsi="楷体" w:eastAsia="楷体" w:cs="楷体"/>
          <w:sz w:val="32"/>
          <w:szCs w:val="32"/>
        </w:rPr>
        <w:t xml:space="preserve"> </w:t>
      </w:r>
      <w:r>
        <w:rPr>
          <w:rFonts w:ascii="楷体" w:hAnsi="楷体" w:eastAsia="楷体" w:cs="楷体"/>
          <w:sz w:val="32"/>
          <w:szCs w:val="32"/>
        </w:rPr>
        <w:t>（一）加强统筹领导，</w:t>
      </w:r>
      <w:r>
        <w:rPr>
          <w:rFonts w:hint="eastAsia" w:ascii="楷体" w:hAnsi="楷体" w:eastAsia="楷体" w:cs="楷体"/>
          <w:sz w:val="32"/>
          <w:szCs w:val="32"/>
        </w:rPr>
        <w:t>强化组织保障</w:t>
      </w:r>
      <w:r>
        <w:rPr>
          <w:rFonts w:ascii="楷体" w:hAnsi="楷体" w:eastAsia="楷体" w:cs="楷体"/>
          <w:sz w:val="32"/>
          <w:szCs w:val="32"/>
        </w:rPr>
        <w:t>。</w:t>
      </w:r>
      <w:r>
        <w:rPr>
          <w:rFonts w:eastAsia="仿宋_GB2312"/>
          <w:snapToGrid w:val="0"/>
          <w:kern w:val="0"/>
          <w:sz w:val="32"/>
          <w:szCs w:val="32"/>
          <w:shd w:val="clear" w:color="auto" w:fill="FFFFFF"/>
        </w:rPr>
        <w:t>各级政府要严格落实属地管理责任，</w:t>
      </w:r>
      <w:r>
        <w:rPr>
          <w:rFonts w:eastAsia="仿宋_GB2312"/>
          <w:sz w:val="32"/>
          <w:szCs w:val="32"/>
        </w:rPr>
        <w:t>将职业病防治工作纳入本地区国民经济和社会发展相关规划及民生工程，</w:t>
      </w:r>
      <w:r>
        <w:rPr>
          <w:rFonts w:hint="eastAsia" w:eastAsia="仿宋_GB2312"/>
          <w:sz w:val="32"/>
          <w:szCs w:val="32"/>
        </w:rPr>
        <w:t>落实我市</w:t>
      </w:r>
      <w:r>
        <w:rPr>
          <w:rFonts w:eastAsia="仿宋_GB2312"/>
          <w:sz w:val="32"/>
          <w:szCs w:val="32"/>
        </w:rPr>
        <w:t>防治规划。各地要将职业健康工作纳入深化医改和安全生产责任制考核体系，加大考核权重，健全完善考评指标和责任制度。</w:t>
      </w:r>
      <w:r>
        <w:rPr>
          <w:rFonts w:eastAsia="仿宋_GB2312"/>
          <w:snapToGrid w:val="0"/>
          <w:kern w:val="0"/>
          <w:sz w:val="32"/>
          <w:szCs w:val="32"/>
          <w:shd w:val="clear" w:color="auto" w:fill="FFFFFF"/>
        </w:rPr>
        <w:t>充分发挥市公共卫生与重大疾病防治工作领导小组统筹领导和协调推动作用，</w:t>
      </w:r>
      <w:r>
        <w:rPr>
          <w:rFonts w:hint="eastAsia" w:eastAsia="仿宋_GB2312"/>
          <w:snapToGrid w:val="0"/>
          <w:kern w:val="0"/>
          <w:sz w:val="32"/>
          <w:szCs w:val="32"/>
          <w:shd w:val="clear" w:color="auto" w:fill="FFFFFF"/>
        </w:rPr>
        <w:t>各成员单位要按照职责分工认真做好职业病防治相关工作</w:t>
      </w:r>
      <w:r>
        <w:rPr>
          <w:rFonts w:eastAsia="仿宋_GB2312"/>
          <w:snapToGrid w:val="0"/>
          <w:kern w:val="0"/>
          <w:sz w:val="32"/>
          <w:szCs w:val="32"/>
          <w:shd w:val="clear" w:color="auto" w:fill="FFFFFF"/>
        </w:rPr>
        <w:t>，加强联防联控，形成防治监管合力。加强</w:t>
      </w:r>
      <w:r>
        <w:rPr>
          <w:rFonts w:hint="eastAsia" w:eastAsia="仿宋_GB2312"/>
          <w:snapToGrid w:val="0"/>
          <w:kern w:val="0"/>
          <w:sz w:val="32"/>
          <w:szCs w:val="32"/>
          <w:shd w:val="clear" w:color="auto" w:fill="FFFFFF"/>
        </w:rPr>
        <w:t>组织</w:t>
      </w:r>
      <w:r>
        <w:rPr>
          <w:rFonts w:eastAsia="仿宋_GB2312"/>
          <w:snapToGrid w:val="0"/>
          <w:kern w:val="0"/>
          <w:sz w:val="32"/>
          <w:szCs w:val="32"/>
          <w:shd w:val="clear" w:color="auto" w:fill="FFFFFF"/>
        </w:rPr>
        <w:t>领导，协调解决跨部门、跨地区问题，推动各项政策措施落地落实。</w:t>
      </w:r>
    </w:p>
    <w:p>
      <w:pPr>
        <w:widowControl/>
        <w:spacing w:line="560" w:lineRule="exact"/>
        <w:rPr>
          <w:rFonts w:ascii="仿宋_GB2312" w:hAnsi="仿宋_GB2312" w:eastAsia="仿宋_GB2312" w:cs="仿宋_GB2312"/>
          <w:sz w:val="32"/>
          <w:szCs w:val="20"/>
        </w:rPr>
      </w:pPr>
      <w:r>
        <w:rPr>
          <w:rFonts w:hint="eastAsia" w:eastAsia="仿宋_GB2312"/>
          <w:snapToGrid w:val="0"/>
          <w:kern w:val="0"/>
          <w:sz w:val="32"/>
          <w:szCs w:val="32"/>
          <w:shd w:val="clear" w:color="auto" w:fill="FFFFFF"/>
        </w:rPr>
        <w:t xml:space="preserve">  </w:t>
      </w:r>
      <w:r>
        <w:rPr>
          <w:rFonts w:hint="eastAsia" w:ascii="楷体_GB2312" w:hAnsi="楷体_GB2312" w:eastAsia="楷体_GB2312" w:cs="楷体_GB2312"/>
          <w:snapToGrid w:val="0"/>
          <w:kern w:val="0"/>
          <w:sz w:val="32"/>
          <w:szCs w:val="32"/>
          <w:shd w:val="clear" w:color="auto" w:fill="FFFFFF"/>
        </w:rPr>
        <w:t xml:space="preserve">  </w:t>
      </w:r>
      <w:r>
        <w:rPr>
          <w:rFonts w:hint="eastAsia" w:ascii="楷体" w:hAnsi="楷体" w:eastAsia="楷体" w:cs="楷体"/>
          <w:sz w:val="32"/>
          <w:szCs w:val="32"/>
        </w:rPr>
        <w:t>（二）加快政策融合，强化法治保障。</w:t>
      </w:r>
      <w:r>
        <w:rPr>
          <w:rFonts w:hint="eastAsia" w:ascii="仿宋_GB2312" w:hAnsi="仿宋_GB2312" w:eastAsia="仿宋_GB2312" w:cs="仿宋_GB2312"/>
          <w:sz w:val="32"/>
          <w:szCs w:val="20"/>
        </w:rPr>
        <w:t>进一步完善职业病防治法治体系。综合运用金融、税收、保险等政策措施，在项目核准、政策支持、资金保障和费率优惠等方面，调动用人单位加强职业病防治管理工作的积极性。推动将职业健康工作融入成型的工作体制机制、</w:t>
      </w:r>
      <w:r>
        <w:rPr>
          <w:rFonts w:ascii="仿宋_GB2312" w:hAnsi="仿宋_GB2312" w:eastAsia="仿宋_GB2312" w:cs="仿宋_GB2312"/>
          <w:sz w:val="32"/>
          <w:szCs w:val="20"/>
        </w:rPr>
        <w:t>市</w:t>
      </w:r>
      <w:r>
        <w:rPr>
          <w:rFonts w:hint="eastAsia" w:ascii="仿宋_GB2312" w:hAnsi="仿宋_GB2312" w:eastAsia="仿宋_GB2312" w:cs="仿宋_GB2312"/>
          <w:sz w:val="32"/>
          <w:szCs w:val="20"/>
        </w:rPr>
        <w:t>的重大政策和卫生健康的主体性制度，在“大卫生”“大健康”框架下统筹推进实施。要把职业健康工作纳入深化医改、公共卫生体系改革和基本公共卫生服务等重点工作，统一规划、统一部署、统一推进和协同实施。</w:t>
      </w:r>
    </w:p>
    <w:p>
      <w:pPr>
        <w:widowControl/>
        <w:spacing w:line="560" w:lineRule="exact"/>
        <w:rPr>
          <w:rFonts w:eastAsia="仿宋_GB2312"/>
          <w:sz w:val="32"/>
          <w:szCs w:val="20"/>
        </w:rPr>
      </w:pPr>
      <w:r>
        <w:rPr>
          <w:rFonts w:hint="eastAsia" w:eastAsia="仿宋_GB2312"/>
          <w:sz w:val="32"/>
          <w:szCs w:val="20"/>
        </w:rPr>
        <w:t xml:space="preserve">   </w:t>
      </w:r>
      <w:r>
        <w:rPr>
          <w:rFonts w:hint="eastAsia" w:ascii="楷体" w:hAnsi="楷体" w:eastAsia="楷体" w:cs="楷体"/>
          <w:sz w:val="32"/>
          <w:szCs w:val="32"/>
        </w:rPr>
        <w:t xml:space="preserve"> </w:t>
      </w:r>
      <w:r>
        <w:rPr>
          <w:rFonts w:ascii="楷体" w:hAnsi="楷体" w:eastAsia="楷体" w:cs="楷体"/>
          <w:sz w:val="32"/>
          <w:szCs w:val="32"/>
        </w:rPr>
        <w:t>（三）完善经费</w:t>
      </w:r>
      <w:r>
        <w:rPr>
          <w:rFonts w:hint="eastAsia" w:ascii="楷体" w:hAnsi="楷体" w:eastAsia="楷体" w:cs="楷体"/>
          <w:sz w:val="32"/>
          <w:szCs w:val="32"/>
        </w:rPr>
        <w:t>投入</w:t>
      </w:r>
      <w:r>
        <w:rPr>
          <w:rFonts w:ascii="楷体" w:hAnsi="楷体" w:eastAsia="楷体" w:cs="楷体"/>
          <w:sz w:val="32"/>
          <w:szCs w:val="32"/>
        </w:rPr>
        <w:t>机制，</w:t>
      </w:r>
      <w:r>
        <w:rPr>
          <w:rFonts w:hint="eastAsia" w:ascii="楷体" w:hAnsi="楷体" w:eastAsia="楷体" w:cs="楷体"/>
          <w:sz w:val="32"/>
          <w:szCs w:val="32"/>
        </w:rPr>
        <w:t>强化资金保障</w:t>
      </w:r>
      <w:r>
        <w:rPr>
          <w:rFonts w:ascii="楷体" w:hAnsi="楷体" w:eastAsia="楷体" w:cs="楷体"/>
          <w:sz w:val="32"/>
          <w:szCs w:val="32"/>
        </w:rPr>
        <w:t>。</w:t>
      </w:r>
      <w:r>
        <w:rPr>
          <w:rFonts w:eastAsia="仿宋_GB2312"/>
          <w:sz w:val="32"/>
          <w:szCs w:val="20"/>
        </w:rPr>
        <w:t>各级人民政府要建立稳定的职业健康事业投入机制，根据职业健康工作形势，合理统筹安排、保障工作所需经费，加强财政资金使用情况管理考核，提高资金使用效率，保障主要任务和重大工程按计划顺利完成。</w:t>
      </w:r>
      <w:r>
        <w:rPr>
          <w:rFonts w:hint="eastAsia" w:eastAsia="仿宋_GB2312"/>
          <w:sz w:val="32"/>
          <w:szCs w:val="20"/>
        </w:rPr>
        <w:t>引导</w:t>
      </w:r>
      <w:r>
        <w:rPr>
          <w:rFonts w:eastAsia="仿宋_GB2312"/>
          <w:sz w:val="32"/>
          <w:szCs w:val="20"/>
        </w:rPr>
        <w:t>用人单位加大职业健康工作经费投入，保障建设项目职业病防护设施“三同时”、职业病危害治理、职业病危害因素检测和评价、职业健康培训、职业健康监护、个人防护用品、应急救援等的费用。</w:t>
      </w:r>
    </w:p>
    <w:p>
      <w:pPr>
        <w:spacing w:line="560" w:lineRule="exact"/>
      </w:pPr>
      <w:r>
        <w:rPr>
          <w:rFonts w:hint="eastAsia" w:eastAsia="仿宋_GB2312"/>
          <w:sz w:val="32"/>
          <w:szCs w:val="20"/>
        </w:rPr>
        <w:t xml:space="preserve">    </w:t>
      </w:r>
      <w:r>
        <w:rPr>
          <w:rFonts w:ascii="楷体" w:hAnsi="楷体" w:eastAsia="楷体" w:cs="楷体"/>
          <w:sz w:val="32"/>
          <w:szCs w:val="32"/>
        </w:rPr>
        <w:t>（四）加强督查评估，确保规划落实。</w:t>
      </w:r>
      <w:r>
        <w:rPr>
          <w:rFonts w:eastAsia="仿宋_GB2312"/>
          <w:sz w:val="32"/>
          <w:szCs w:val="32"/>
        </w:rPr>
        <w:t>各地要适时组织开展规划实施的专项督查和考核评估</w:t>
      </w:r>
      <w:r>
        <w:rPr>
          <w:rFonts w:hint="eastAsia" w:ascii="仿宋_GB2312" w:hAnsi="仿宋_GB2312" w:eastAsia="仿宋_GB2312" w:cs="仿宋_GB2312"/>
          <w:sz w:val="32"/>
          <w:szCs w:val="32"/>
        </w:rPr>
        <w:t>工作，2024年2月中旬前组织规划实施的中期评估和区域职业健康风险评估；2025年底前组织规划实施的终期评估。</w:t>
      </w:r>
      <w:r>
        <w:rPr>
          <w:rFonts w:hint="eastAsia" w:ascii="仿宋_GB2312" w:hAnsi="仿宋_GB2312" w:eastAsia="仿宋_GB2312" w:cs="仿宋_GB2312"/>
          <w:sz w:val="32"/>
          <w:szCs w:val="20"/>
        </w:rPr>
        <w:t>市公共卫生与重大疾病防治工作领导小组办公室要加强统筹协调，会同有关单位，对各地加强指</w:t>
      </w:r>
      <w:r>
        <w:rPr>
          <w:rFonts w:hint="eastAsia" w:eastAsia="仿宋_GB2312"/>
          <w:sz w:val="32"/>
          <w:szCs w:val="20"/>
        </w:rPr>
        <w:t>导督促</w:t>
      </w:r>
      <w:r>
        <w:rPr>
          <w:rFonts w:eastAsia="仿宋_GB2312"/>
          <w:sz w:val="32"/>
          <w:szCs w:val="20"/>
        </w:rPr>
        <w:t>。</w:t>
      </w:r>
      <w:r>
        <w:rPr>
          <w:rFonts w:eastAsia="仿宋_GB2312"/>
          <w:sz w:val="32"/>
          <w:szCs w:val="32"/>
        </w:rPr>
        <w:t>各地要明确阶段性目标和任务分工，</w:t>
      </w:r>
      <w:r>
        <w:rPr>
          <w:rFonts w:hint="eastAsia" w:eastAsia="仿宋_GB2312"/>
          <w:sz w:val="32"/>
          <w:szCs w:val="32"/>
        </w:rPr>
        <w:t>细化工作措施，落实落细各项工作</w:t>
      </w:r>
      <w:r>
        <w:rPr>
          <w:rFonts w:eastAsia="仿宋_GB2312"/>
          <w:sz w:val="32"/>
          <w:szCs w:val="32"/>
        </w:rPr>
        <w:t>，确保</w:t>
      </w:r>
      <w:r>
        <w:rPr>
          <w:rFonts w:hint="eastAsia" w:eastAsia="仿宋_GB2312"/>
          <w:sz w:val="32"/>
          <w:szCs w:val="32"/>
        </w:rPr>
        <w:t>规划</w:t>
      </w:r>
      <w:r>
        <w:rPr>
          <w:rFonts w:eastAsia="仿宋_GB2312"/>
          <w:sz w:val="32"/>
          <w:szCs w:val="32"/>
        </w:rPr>
        <w:t>任务圆满完成。</w:t>
      </w:r>
    </w:p>
    <w:p>
      <w:pPr>
        <w:spacing w:line="560" w:lineRule="exact"/>
      </w:pPr>
    </w:p>
    <w:p/>
    <w:p>
      <w:pPr>
        <w:pStyle w:val="2"/>
      </w:pPr>
    </w:p>
    <w:p>
      <w:pPr>
        <w:pStyle w:val="3"/>
      </w:pPr>
    </w:p>
    <w:p/>
    <w:p>
      <w:pPr>
        <w:pStyle w:val="2"/>
      </w:pPr>
    </w:p>
    <w:p>
      <w:pPr>
        <w:pStyle w:val="3"/>
      </w:pPr>
    </w:p>
    <w:p/>
    <w:p>
      <w:pPr>
        <w:pStyle w:val="2"/>
      </w:pPr>
    </w:p>
    <w:p/>
    <w:p>
      <w:pPr>
        <w:pStyle w:val="2"/>
      </w:pPr>
    </w:p>
    <w:p>
      <w:pPr>
        <w:pStyle w:val="3"/>
      </w:pPr>
    </w:p>
    <w:p>
      <w:pPr>
        <w:spacing w:line="440" w:lineRule="exact"/>
        <w:ind w:right="641"/>
        <w:rPr>
          <w:rFonts w:ascii="黑体" w:eastAsia="黑体"/>
          <w:sz w:val="32"/>
          <w:szCs w:val="32"/>
        </w:rPr>
      </w:pPr>
    </w:p>
    <w:p>
      <w:pPr>
        <w:widowControl/>
        <w:tabs>
          <w:tab w:val="left" w:pos="780"/>
        </w:tabs>
        <w:ind w:firstLine="210" w:firstLineChars="100"/>
        <w:jc w:val="left"/>
      </w:pPr>
    </w:p>
    <w:sectPr>
      <w:footerReference r:id="rId5" w:type="default"/>
      <w:pgSz w:w="11906" w:h="16838"/>
      <w:pgMar w:top="1588" w:right="1588" w:bottom="1588" w:left="1588"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205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wY2IzMjY0MzllZTM0MTAyNWEyNzI4ZWI1YTM5OWIifQ=="/>
  </w:docVars>
  <w:rsids>
    <w:rsidRoot w:val="001D7E52"/>
    <w:rsid w:val="00004FE8"/>
    <w:rsid w:val="00006537"/>
    <w:rsid w:val="00056592"/>
    <w:rsid w:val="00060986"/>
    <w:rsid w:val="0008703C"/>
    <w:rsid w:val="00091FFB"/>
    <w:rsid w:val="00107AC0"/>
    <w:rsid w:val="00151B6B"/>
    <w:rsid w:val="001715F3"/>
    <w:rsid w:val="0018719D"/>
    <w:rsid w:val="001C263F"/>
    <w:rsid w:val="001D7E52"/>
    <w:rsid w:val="001E32C6"/>
    <w:rsid w:val="001E60E5"/>
    <w:rsid w:val="00296F65"/>
    <w:rsid w:val="002B23C4"/>
    <w:rsid w:val="00320029"/>
    <w:rsid w:val="00343A24"/>
    <w:rsid w:val="00363BCD"/>
    <w:rsid w:val="00424651"/>
    <w:rsid w:val="004A6BC5"/>
    <w:rsid w:val="004E758E"/>
    <w:rsid w:val="004F441E"/>
    <w:rsid w:val="00507CC8"/>
    <w:rsid w:val="00526F2E"/>
    <w:rsid w:val="005278FA"/>
    <w:rsid w:val="00540E33"/>
    <w:rsid w:val="00634023"/>
    <w:rsid w:val="00680EF9"/>
    <w:rsid w:val="006C0A4D"/>
    <w:rsid w:val="00747E3F"/>
    <w:rsid w:val="007A46F3"/>
    <w:rsid w:val="00800C35"/>
    <w:rsid w:val="00872AA2"/>
    <w:rsid w:val="008A5849"/>
    <w:rsid w:val="008B5437"/>
    <w:rsid w:val="008D5F1F"/>
    <w:rsid w:val="00926C76"/>
    <w:rsid w:val="0096069E"/>
    <w:rsid w:val="009753C0"/>
    <w:rsid w:val="009F17F7"/>
    <w:rsid w:val="00AB3F41"/>
    <w:rsid w:val="00AC040D"/>
    <w:rsid w:val="00AD13DB"/>
    <w:rsid w:val="00B4344C"/>
    <w:rsid w:val="00B918B2"/>
    <w:rsid w:val="00BA2217"/>
    <w:rsid w:val="00BE6522"/>
    <w:rsid w:val="00CF2619"/>
    <w:rsid w:val="00D16168"/>
    <w:rsid w:val="00D37ADB"/>
    <w:rsid w:val="00D45AC9"/>
    <w:rsid w:val="00DB3833"/>
    <w:rsid w:val="00DB6BE5"/>
    <w:rsid w:val="00DD5382"/>
    <w:rsid w:val="00E56387"/>
    <w:rsid w:val="00E70CB3"/>
    <w:rsid w:val="00EA40A1"/>
    <w:rsid w:val="00ED5267"/>
    <w:rsid w:val="00EF0779"/>
    <w:rsid w:val="00F37F6C"/>
    <w:rsid w:val="00FB694F"/>
    <w:rsid w:val="0ED600C0"/>
    <w:rsid w:val="1EC77292"/>
    <w:rsid w:val="3149244E"/>
    <w:rsid w:val="77606C22"/>
    <w:rsid w:val="7905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style>
  <w:style w:type="paragraph" w:styleId="3">
    <w:name w:val="Title"/>
    <w:basedOn w:val="1"/>
    <w:next w:val="1"/>
    <w:link w:val="16"/>
    <w:qFormat/>
    <w:uiPriority w:val="0"/>
    <w:pPr>
      <w:spacing w:before="240" w:after="60"/>
      <w:jc w:val="center"/>
      <w:outlineLvl w:val="0"/>
    </w:pPr>
    <w:rPr>
      <w:rFonts w:ascii="Cambria" w:hAnsi="Cambria"/>
      <w:b/>
      <w:bCs/>
      <w:sz w:val="32"/>
      <w:szCs w:val="32"/>
    </w:rPr>
  </w:style>
  <w:style w:type="paragraph" w:styleId="4">
    <w:name w:val="Body Text Indent"/>
    <w:basedOn w:val="1"/>
    <w:link w:val="17"/>
    <w:semiHidden/>
    <w:unhideWhenUsed/>
    <w:qFormat/>
    <w:uiPriority w:val="99"/>
    <w:pPr>
      <w:spacing w:after="120"/>
      <w:ind w:left="420" w:leftChars="200"/>
    </w:pPr>
  </w:style>
  <w:style w:type="paragraph" w:styleId="5">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pPr>
      <w:suppressAutoHyphens/>
    </w:pPr>
    <w:rPr>
      <w:rFonts w:ascii="Calibri" w:hAnsi="Calibri"/>
    </w:rPr>
  </w:style>
  <w:style w:type="paragraph" w:styleId="8">
    <w:name w:val="Normal (Web)"/>
    <w:basedOn w:val="1"/>
    <w:qFormat/>
    <w:uiPriority w:val="0"/>
    <w:pPr>
      <w:jc w:val="left"/>
    </w:pPr>
    <w:rPr>
      <w:kern w:val="0"/>
      <w:sz w:val="24"/>
    </w:rPr>
  </w:style>
  <w:style w:type="paragraph" w:styleId="9">
    <w:name w:val="Body Text First Indent 2"/>
    <w:basedOn w:val="4"/>
    <w:link w:val="18"/>
    <w:qFormat/>
    <w:uiPriority w:val="99"/>
    <w:pPr>
      <w:suppressAutoHyphens/>
      <w:spacing w:after="0" w:line="360" w:lineRule="auto"/>
      <w:ind w:left="0" w:leftChars="0" w:firstLine="420" w:firstLineChars="200"/>
      <w:textAlignment w:val="baseline"/>
    </w:pPr>
    <w:rPr>
      <w:rFonts w:eastAsia="仿宋_GB2312"/>
      <w:kern w:val="0"/>
      <w:sz w:val="24"/>
      <w:szCs w:val="20"/>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6"/>
    <w:qFormat/>
    <w:uiPriority w:val="99"/>
    <w:rPr>
      <w:sz w:val="18"/>
      <w:szCs w:val="18"/>
    </w:rPr>
  </w:style>
  <w:style w:type="character" w:customStyle="1" w:styleId="14">
    <w:name w:val="页脚 Char"/>
    <w:basedOn w:val="12"/>
    <w:link w:val="5"/>
    <w:qFormat/>
    <w:uiPriority w:val="99"/>
    <w:rPr>
      <w:sz w:val="18"/>
      <w:szCs w:val="18"/>
    </w:rPr>
  </w:style>
  <w:style w:type="character" w:customStyle="1" w:styleId="15">
    <w:name w:val="正文文本 Char"/>
    <w:basedOn w:val="12"/>
    <w:link w:val="2"/>
    <w:qFormat/>
    <w:uiPriority w:val="99"/>
    <w:rPr>
      <w:rFonts w:ascii="Times New Roman" w:hAnsi="Times New Roman" w:eastAsia="宋体" w:cs="Times New Roman"/>
    </w:rPr>
  </w:style>
  <w:style w:type="character" w:customStyle="1" w:styleId="16">
    <w:name w:val="标题 Char"/>
    <w:basedOn w:val="12"/>
    <w:link w:val="3"/>
    <w:qFormat/>
    <w:uiPriority w:val="0"/>
    <w:rPr>
      <w:rFonts w:ascii="Cambria" w:hAnsi="Cambria" w:eastAsia="宋体" w:cs="Times New Roman"/>
      <w:b/>
      <w:bCs/>
      <w:sz w:val="32"/>
      <w:szCs w:val="32"/>
    </w:rPr>
  </w:style>
  <w:style w:type="character" w:customStyle="1" w:styleId="17">
    <w:name w:val="正文文本缩进 Char"/>
    <w:basedOn w:val="12"/>
    <w:link w:val="4"/>
    <w:semiHidden/>
    <w:qFormat/>
    <w:uiPriority w:val="99"/>
    <w:rPr>
      <w:rFonts w:ascii="Times New Roman" w:hAnsi="Times New Roman" w:eastAsia="宋体" w:cs="Times New Roman"/>
    </w:rPr>
  </w:style>
  <w:style w:type="character" w:customStyle="1" w:styleId="18">
    <w:name w:val="正文首行缩进 2 Char"/>
    <w:basedOn w:val="17"/>
    <w:link w:val="9"/>
    <w:qFormat/>
    <w:uiPriority w:val="99"/>
    <w:rPr>
      <w:rFonts w:ascii="Times New Roman" w:hAnsi="Times New Roman" w:eastAsia="仿宋_GB2312"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9755</Words>
  <Characters>9990</Characters>
  <Lines>73</Lines>
  <Paragraphs>20</Paragraphs>
  <TotalTime>1162</TotalTime>
  <ScaleCrop>false</ScaleCrop>
  <LinksUpToDate>false</LinksUpToDate>
  <CharactersWithSpaces>10115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2023-03-06T03:44:00Z</dcterms:created>
  <dc:creator>林艳花</dc:creator>
  <cp:lastModifiedBy>陈灏阳</cp:lastModifiedBy>
  <cp:lastPrinted>2023-04-06T06:52:00Z</cp:lastPrinted>
  <dcterms:modified xsi:type="dcterms:W3CDTF">2023-05-11T00:52:48Z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F60FAE3445FC40E0B62A186716AAEC53</vt:lpwstr>
  </property>
</Properties>
</file>