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黑体" w:eastAsia="黑体"/>
          <w:b/>
          <w:bCs/>
          <w:sz w:val="32"/>
          <w:szCs w:val="32"/>
          <w:lang w:eastAsia="zh-CN"/>
        </w:rPr>
      </w:pPr>
      <w:r>
        <w:rPr>
          <w:rFonts w:hint="eastAsia" w:ascii="黑体" w:eastAsia="黑体"/>
          <w:b/>
          <w:bCs/>
          <w:sz w:val="32"/>
          <w:szCs w:val="32"/>
          <w:lang w:eastAsia="zh-CN"/>
        </w:rPr>
        <w:t>附件</w:t>
      </w:r>
    </w:p>
    <w:p>
      <w:pPr>
        <w:jc w:val="center"/>
        <w:rPr>
          <w:rFonts w:hint="eastAsia" w:ascii="黑体" w:eastAsia="黑体"/>
          <w:b/>
          <w:bCs/>
          <w:sz w:val="32"/>
          <w:szCs w:val="32"/>
        </w:rPr>
      </w:pPr>
      <w:r>
        <w:rPr>
          <w:rFonts w:hint="eastAsia" w:ascii="黑体" w:eastAsia="黑体"/>
          <w:b/>
          <w:bCs/>
          <w:sz w:val="32"/>
          <w:szCs w:val="32"/>
        </w:rPr>
        <w:t>202</w:t>
      </w:r>
      <w:r>
        <w:rPr>
          <w:rFonts w:hint="eastAsia" w:ascii="黑体" w:eastAsia="黑体"/>
          <w:b/>
          <w:bCs/>
          <w:sz w:val="32"/>
          <w:szCs w:val="32"/>
          <w:lang w:val="en-US" w:eastAsia="zh-CN"/>
        </w:rPr>
        <w:t>6</w:t>
      </w:r>
      <w:r>
        <w:rPr>
          <w:rFonts w:hint="eastAsia" w:ascii="黑体" w:eastAsia="黑体"/>
          <w:b/>
          <w:bCs/>
          <w:sz w:val="32"/>
          <w:szCs w:val="32"/>
        </w:rPr>
        <w:t>年度台山市实施标准化战略专项资金资助项目经费安排计划表</w:t>
      </w:r>
    </w:p>
    <w:tbl>
      <w:tblPr>
        <w:tblStyle w:val="4"/>
        <w:tblW w:w="1418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2755"/>
        <w:gridCol w:w="4640"/>
        <w:gridCol w:w="804"/>
        <w:gridCol w:w="1188"/>
        <w:gridCol w:w="1582"/>
        <w:gridCol w:w="1127"/>
        <w:gridCol w:w="855"/>
        <w:gridCol w:w="66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exact"/>
          <w:jc w:val="center"/>
        </w:trPr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  <w:t>序号</w:t>
            </w:r>
          </w:p>
        </w:tc>
        <w:tc>
          <w:tcPr>
            <w:tcW w:w="27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  <w:t>申报单位</w:t>
            </w:r>
          </w:p>
        </w:tc>
        <w:tc>
          <w:tcPr>
            <w:tcW w:w="46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  <w:t>项目名称</w:t>
            </w:r>
          </w:p>
        </w:tc>
        <w:tc>
          <w:tcPr>
            <w:tcW w:w="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  <w:t>制定/</w:t>
            </w:r>
          </w:p>
          <w:p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  <w:t>修订</w:t>
            </w:r>
          </w:p>
        </w:tc>
        <w:tc>
          <w:tcPr>
            <w:tcW w:w="11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  <w:t>参与类型</w:t>
            </w:r>
          </w:p>
        </w:tc>
        <w:tc>
          <w:tcPr>
            <w:tcW w:w="15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  <w:t>批准</w:t>
            </w:r>
          </w:p>
          <w:p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  <w:t>发布时间</w:t>
            </w:r>
          </w:p>
        </w:tc>
        <w:tc>
          <w:tcPr>
            <w:tcW w:w="11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  <w:t>依据</w:t>
            </w:r>
          </w:p>
        </w:tc>
        <w:tc>
          <w:tcPr>
            <w:tcW w:w="8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  <w:t>资助额度(元）</w:t>
            </w:r>
          </w:p>
        </w:tc>
        <w:tc>
          <w:tcPr>
            <w:tcW w:w="6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  <w:lang w:val="en-US" w:eastAsia="zh-CN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exact"/>
          <w:jc w:val="center"/>
        </w:trPr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eastAsia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7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0"/>
                <w:lang w:val="en-US" w:eastAsia="zh-CN" w:bidi="ar-SA"/>
              </w:rPr>
            </w:pPr>
            <w:r>
              <w:rPr>
                <w:rFonts w:hint="eastAsia"/>
                <w:kern w:val="2"/>
                <w:sz w:val="21"/>
                <w:szCs w:val="20"/>
                <w:lang w:val="en-US" w:eastAsia="zh-CN" w:bidi="ar-SA"/>
              </w:rPr>
              <w:t>广东绿岛风空气系统股份有限公司</w:t>
            </w:r>
          </w:p>
        </w:tc>
        <w:tc>
          <w:tcPr>
            <w:tcW w:w="46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0"/>
                <w:lang w:val="en-US" w:eastAsia="zh-CN" w:bidi="ar-SA"/>
              </w:rPr>
            </w:pPr>
            <w:r>
              <w:rPr>
                <w:rFonts w:hint="eastAsia"/>
                <w:sz w:val="21"/>
                <w:szCs w:val="20"/>
                <w:lang w:val="en-US" w:eastAsia="zh-CN"/>
              </w:rPr>
              <w:t>GB/T 46496-2025《厨房空调器》</w:t>
            </w:r>
          </w:p>
        </w:tc>
        <w:tc>
          <w:tcPr>
            <w:tcW w:w="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制定</w:t>
            </w:r>
          </w:p>
        </w:tc>
        <w:tc>
          <w:tcPr>
            <w:tcW w:w="11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协助</w:t>
            </w:r>
          </w:p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国家标准</w:t>
            </w:r>
          </w:p>
        </w:tc>
        <w:tc>
          <w:tcPr>
            <w:tcW w:w="15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kern w:val="2"/>
                <w:sz w:val="21"/>
                <w:szCs w:val="21"/>
                <w:lang w:val="en-US" w:eastAsia="zh-CN" w:bidi="ar-SA"/>
              </w:rPr>
              <w:t>2025年10月05日</w:t>
            </w:r>
          </w:p>
        </w:tc>
        <w:tc>
          <w:tcPr>
            <w:tcW w:w="11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kern w:val="2"/>
                <w:sz w:val="15"/>
                <w:szCs w:val="15"/>
                <w:lang w:val="en-US" w:eastAsia="zh-CN" w:bidi="ar-SA"/>
              </w:rPr>
              <w:t>《办法》第七条第二项</w:t>
            </w:r>
          </w:p>
        </w:tc>
        <w:tc>
          <w:tcPr>
            <w:tcW w:w="8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eastAsia="宋体"/>
                <w:kern w:val="2"/>
                <w:sz w:val="18"/>
                <w:szCs w:val="20"/>
                <w:lang w:val="en-US" w:eastAsia="zh-CN" w:bidi="ar-SA"/>
              </w:rPr>
            </w:pPr>
            <w:r>
              <w:rPr>
                <w:rFonts w:hint="eastAsia"/>
                <w:kern w:val="2"/>
                <w:sz w:val="18"/>
                <w:szCs w:val="20"/>
                <w:lang w:val="en-US" w:eastAsia="zh-CN" w:bidi="ar-SA"/>
              </w:rPr>
              <w:t>2000</w:t>
            </w:r>
          </w:p>
        </w:tc>
        <w:tc>
          <w:tcPr>
            <w:tcW w:w="6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eastAsia="宋体"/>
                <w:kern w:val="2"/>
                <w:sz w:val="21"/>
                <w:szCs w:val="22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exact"/>
          <w:jc w:val="center"/>
        </w:trPr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7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0"/>
                <w:lang w:val="en-US" w:eastAsia="zh-CN" w:bidi="ar-SA"/>
              </w:rPr>
            </w:pPr>
            <w:r>
              <w:rPr>
                <w:rFonts w:hint="eastAsia"/>
                <w:kern w:val="2"/>
                <w:sz w:val="21"/>
                <w:szCs w:val="20"/>
                <w:lang w:val="en-US" w:eastAsia="zh-CN" w:bidi="ar-SA"/>
              </w:rPr>
              <w:t>广东绿岛风空气系统股份有限公司</w:t>
            </w:r>
          </w:p>
        </w:tc>
        <w:tc>
          <w:tcPr>
            <w:tcW w:w="46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0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0"/>
                <w:lang w:val="en-US" w:eastAsia="zh-CN" w:bidi="ar-SA"/>
              </w:rPr>
              <w:t>GB/T 43080.2-2025《通风机 通风机效率等级 第2部分：驱动部件的标准损耗》</w:t>
            </w:r>
          </w:p>
        </w:tc>
        <w:tc>
          <w:tcPr>
            <w:tcW w:w="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制定</w:t>
            </w:r>
          </w:p>
        </w:tc>
        <w:tc>
          <w:tcPr>
            <w:tcW w:w="11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协助</w:t>
            </w:r>
          </w:p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国家标准</w:t>
            </w:r>
          </w:p>
        </w:tc>
        <w:tc>
          <w:tcPr>
            <w:tcW w:w="15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kern w:val="2"/>
                <w:sz w:val="21"/>
                <w:szCs w:val="21"/>
                <w:lang w:val="en-US" w:eastAsia="zh-CN" w:bidi="ar-SA"/>
              </w:rPr>
              <w:t>2025年10月31日</w:t>
            </w:r>
          </w:p>
        </w:tc>
        <w:tc>
          <w:tcPr>
            <w:tcW w:w="11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kern w:val="2"/>
                <w:sz w:val="15"/>
                <w:szCs w:val="15"/>
                <w:lang w:val="en-US" w:eastAsia="zh-CN" w:bidi="ar-SA"/>
              </w:rPr>
              <w:t>《办法》第七条第二项</w:t>
            </w:r>
          </w:p>
        </w:tc>
        <w:tc>
          <w:tcPr>
            <w:tcW w:w="8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/>
                <w:kern w:val="2"/>
                <w:sz w:val="18"/>
                <w:szCs w:val="20"/>
                <w:lang w:val="en-US" w:eastAsia="zh-CN" w:bidi="ar-SA"/>
              </w:rPr>
            </w:pPr>
            <w:r>
              <w:rPr>
                <w:rFonts w:hint="eastAsia"/>
                <w:kern w:val="2"/>
                <w:sz w:val="18"/>
                <w:szCs w:val="20"/>
                <w:lang w:val="en-US" w:eastAsia="zh-CN" w:bidi="ar-SA"/>
              </w:rPr>
              <w:t>2000</w:t>
            </w:r>
          </w:p>
        </w:tc>
        <w:tc>
          <w:tcPr>
            <w:tcW w:w="6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eastAsia="宋体"/>
                <w:kern w:val="2"/>
                <w:sz w:val="21"/>
                <w:szCs w:val="22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exact"/>
          <w:jc w:val="center"/>
        </w:trPr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7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0"/>
                <w:lang w:val="en-US" w:eastAsia="zh-CN" w:bidi="ar-SA"/>
              </w:rPr>
            </w:pPr>
            <w:r>
              <w:rPr>
                <w:rFonts w:hint="eastAsia"/>
                <w:kern w:val="2"/>
                <w:sz w:val="21"/>
                <w:szCs w:val="20"/>
                <w:lang w:val="en-US" w:eastAsia="zh-CN" w:bidi="ar-SA"/>
              </w:rPr>
              <w:t>广东绿岛风空气系统股份有限公司</w:t>
            </w:r>
          </w:p>
        </w:tc>
        <w:tc>
          <w:tcPr>
            <w:tcW w:w="46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0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0"/>
                <w:lang w:val="en-US" w:eastAsia="zh-CN" w:bidi="ar-SA"/>
              </w:rPr>
              <w:t>GB/T 43080.4-2025《通风机 通风机效率等级 第4部分：含驱动装置最高转速时的通风机》</w:t>
            </w:r>
          </w:p>
        </w:tc>
        <w:tc>
          <w:tcPr>
            <w:tcW w:w="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制定</w:t>
            </w:r>
          </w:p>
        </w:tc>
        <w:tc>
          <w:tcPr>
            <w:tcW w:w="11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协助</w:t>
            </w:r>
          </w:p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国家标准</w:t>
            </w:r>
          </w:p>
        </w:tc>
        <w:tc>
          <w:tcPr>
            <w:tcW w:w="15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kern w:val="2"/>
                <w:sz w:val="21"/>
                <w:szCs w:val="21"/>
                <w:lang w:val="en-US" w:eastAsia="zh-CN" w:bidi="ar-SA"/>
              </w:rPr>
              <w:t>2025年10月31日</w:t>
            </w:r>
          </w:p>
        </w:tc>
        <w:tc>
          <w:tcPr>
            <w:tcW w:w="11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kern w:val="2"/>
                <w:sz w:val="15"/>
                <w:szCs w:val="15"/>
                <w:lang w:val="en-US" w:eastAsia="zh-CN" w:bidi="ar-SA"/>
              </w:rPr>
              <w:t>《办法》第七条第二项</w:t>
            </w:r>
          </w:p>
        </w:tc>
        <w:tc>
          <w:tcPr>
            <w:tcW w:w="8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/>
                <w:kern w:val="2"/>
                <w:sz w:val="18"/>
                <w:szCs w:val="20"/>
                <w:lang w:val="en-US" w:eastAsia="zh-CN" w:bidi="ar-SA"/>
              </w:rPr>
            </w:pPr>
            <w:r>
              <w:rPr>
                <w:rFonts w:hint="eastAsia"/>
                <w:kern w:val="2"/>
                <w:sz w:val="18"/>
                <w:szCs w:val="20"/>
                <w:lang w:val="en-US" w:eastAsia="zh-CN" w:bidi="ar-SA"/>
              </w:rPr>
              <w:t>2000</w:t>
            </w:r>
          </w:p>
        </w:tc>
        <w:tc>
          <w:tcPr>
            <w:tcW w:w="6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eastAsia="宋体"/>
                <w:kern w:val="2"/>
                <w:sz w:val="21"/>
                <w:szCs w:val="22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exact"/>
          <w:jc w:val="center"/>
        </w:trPr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27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0"/>
                <w:lang w:val="en-US" w:eastAsia="zh-CN" w:bidi="ar-SA"/>
              </w:rPr>
            </w:pPr>
            <w:r>
              <w:rPr>
                <w:rFonts w:hint="eastAsia"/>
                <w:kern w:val="2"/>
                <w:sz w:val="21"/>
                <w:szCs w:val="20"/>
                <w:lang w:val="en-US" w:eastAsia="zh-CN" w:bidi="ar-SA"/>
              </w:rPr>
              <w:t>广东绿岛风空气系统股份有限公司</w:t>
            </w:r>
          </w:p>
        </w:tc>
        <w:tc>
          <w:tcPr>
            <w:tcW w:w="46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0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0"/>
                <w:lang w:val="en-US" w:eastAsia="zh-CN" w:bidi="ar-SA"/>
              </w:rPr>
              <w:t>GB/T 43080.5-2025《通风机 通风机效率等级 第5部分：射流风机》</w:t>
            </w:r>
          </w:p>
        </w:tc>
        <w:tc>
          <w:tcPr>
            <w:tcW w:w="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制定</w:t>
            </w:r>
          </w:p>
        </w:tc>
        <w:tc>
          <w:tcPr>
            <w:tcW w:w="11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协助</w:t>
            </w:r>
          </w:p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国家标准</w:t>
            </w:r>
          </w:p>
        </w:tc>
        <w:tc>
          <w:tcPr>
            <w:tcW w:w="15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kern w:val="2"/>
                <w:sz w:val="21"/>
                <w:szCs w:val="21"/>
                <w:lang w:val="en-US" w:eastAsia="zh-CN" w:bidi="ar-SA"/>
              </w:rPr>
              <w:t>2025年10月31日</w:t>
            </w:r>
          </w:p>
        </w:tc>
        <w:tc>
          <w:tcPr>
            <w:tcW w:w="11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kern w:val="2"/>
                <w:sz w:val="15"/>
                <w:szCs w:val="15"/>
                <w:lang w:val="en-US" w:eastAsia="zh-CN" w:bidi="ar-SA"/>
              </w:rPr>
              <w:t>《办法》第七条第二项</w:t>
            </w:r>
          </w:p>
        </w:tc>
        <w:tc>
          <w:tcPr>
            <w:tcW w:w="8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18"/>
                <w:szCs w:val="20"/>
                <w:lang w:val="en-US" w:eastAsia="zh-CN" w:bidi="ar-SA"/>
              </w:rPr>
              <w:t>2000</w:t>
            </w:r>
          </w:p>
        </w:tc>
        <w:tc>
          <w:tcPr>
            <w:tcW w:w="6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eastAsia="宋体"/>
                <w:kern w:val="2"/>
                <w:sz w:val="21"/>
                <w:szCs w:val="22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exact"/>
          <w:jc w:val="center"/>
        </w:trPr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7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0"/>
                <w:lang w:val="en-US" w:eastAsia="zh-CN" w:bidi="ar-SA"/>
              </w:rPr>
            </w:pPr>
            <w:r>
              <w:rPr>
                <w:rFonts w:hint="eastAsia"/>
                <w:kern w:val="2"/>
                <w:sz w:val="21"/>
                <w:szCs w:val="20"/>
                <w:lang w:val="en-US" w:eastAsia="zh-CN" w:bidi="ar-SA"/>
              </w:rPr>
              <w:t>广东绿岛风空气系统股份有限公司</w:t>
            </w:r>
          </w:p>
        </w:tc>
        <w:tc>
          <w:tcPr>
            <w:tcW w:w="46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0"/>
                <w:lang w:val="en-US" w:eastAsia="zh-CN" w:bidi="ar-SA"/>
              </w:rPr>
            </w:pPr>
            <w:r>
              <w:rPr>
                <w:rFonts w:hint="eastAsia"/>
                <w:kern w:val="2"/>
                <w:sz w:val="21"/>
                <w:szCs w:val="20"/>
                <w:lang w:val="en-US" w:eastAsia="zh-CN" w:bidi="ar-SA"/>
              </w:rPr>
              <w:t>GB 29539-2025《家用和类似用途吸油机与换气扇能效限定值及能效等级》</w:t>
            </w:r>
          </w:p>
        </w:tc>
        <w:tc>
          <w:tcPr>
            <w:tcW w:w="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kern w:val="2"/>
                <w:sz w:val="21"/>
                <w:szCs w:val="21"/>
                <w:lang w:val="en-US" w:eastAsia="zh-CN" w:bidi="ar-SA"/>
              </w:rPr>
              <w:t>修订</w:t>
            </w:r>
          </w:p>
        </w:tc>
        <w:tc>
          <w:tcPr>
            <w:tcW w:w="11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kern w:val="2"/>
                <w:sz w:val="21"/>
                <w:szCs w:val="21"/>
                <w:lang w:val="en-US" w:eastAsia="zh-CN" w:bidi="ar-SA"/>
              </w:rPr>
              <w:t xml:space="preserve">协助 </w:t>
            </w:r>
          </w:p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kern w:val="2"/>
                <w:sz w:val="21"/>
                <w:szCs w:val="21"/>
                <w:lang w:val="en-US" w:eastAsia="zh-CN" w:bidi="ar-SA"/>
              </w:rPr>
              <w:t>国家标准</w:t>
            </w:r>
          </w:p>
        </w:tc>
        <w:tc>
          <w:tcPr>
            <w:tcW w:w="15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kern w:val="2"/>
                <w:sz w:val="21"/>
                <w:szCs w:val="21"/>
                <w:lang w:val="en-US" w:eastAsia="zh-CN" w:bidi="ar-SA"/>
              </w:rPr>
              <w:t>2025年10月31日</w:t>
            </w:r>
          </w:p>
        </w:tc>
        <w:tc>
          <w:tcPr>
            <w:tcW w:w="11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kern w:val="2"/>
                <w:sz w:val="15"/>
                <w:szCs w:val="15"/>
                <w:lang w:val="en-US" w:eastAsia="zh-CN" w:bidi="ar-SA"/>
              </w:rPr>
              <w:t>《办法》第七条第六项</w:t>
            </w:r>
          </w:p>
        </w:tc>
        <w:tc>
          <w:tcPr>
            <w:tcW w:w="8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18"/>
                <w:szCs w:val="20"/>
                <w:lang w:val="en-US" w:eastAsia="zh-CN" w:bidi="ar-SA"/>
              </w:rPr>
              <w:t>1500</w:t>
            </w:r>
          </w:p>
        </w:tc>
        <w:tc>
          <w:tcPr>
            <w:tcW w:w="6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eastAsia="宋体"/>
                <w:kern w:val="2"/>
                <w:sz w:val="21"/>
                <w:szCs w:val="22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exact"/>
          <w:jc w:val="center"/>
        </w:trPr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27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0"/>
                <w:lang w:val="en-US" w:eastAsia="zh-CN" w:bidi="ar-SA"/>
              </w:rPr>
            </w:pPr>
            <w:r>
              <w:rPr>
                <w:rFonts w:hint="eastAsia"/>
                <w:sz w:val="21"/>
                <w:szCs w:val="20"/>
                <w:lang w:eastAsia="zh-CN"/>
              </w:rPr>
              <w:t>台山平安五金制品有限公司</w:t>
            </w:r>
          </w:p>
        </w:tc>
        <w:tc>
          <w:tcPr>
            <w:tcW w:w="46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0"/>
                <w:lang w:val="en-US" w:eastAsia="zh-CN" w:bidi="ar-SA"/>
              </w:rPr>
            </w:pPr>
            <w:r>
              <w:rPr>
                <w:rFonts w:hint="eastAsia"/>
                <w:sz w:val="21"/>
                <w:szCs w:val="20"/>
                <w:lang w:val="en-US" w:eastAsia="zh-CN"/>
              </w:rPr>
              <w:t>GB/T 47618-2026《核电建筑专用门窗技术要求》</w:t>
            </w:r>
          </w:p>
        </w:tc>
        <w:tc>
          <w:tcPr>
            <w:tcW w:w="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制定</w:t>
            </w:r>
          </w:p>
        </w:tc>
        <w:tc>
          <w:tcPr>
            <w:tcW w:w="11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协助</w:t>
            </w:r>
          </w:p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国家标准</w:t>
            </w:r>
          </w:p>
        </w:tc>
        <w:tc>
          <w:tcPr>
            <w:tcW w:w="15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2026年5月25日</w:t>
            </w:r>
          </w:p>
        </w:tc>
        <w:tc>
          <w:tcPr>
            <w:tcW w:w="11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kern w:val="2"/>
                <w:sz w:val="15"/>
                <w:szCs w:val="15"/>
                <w:lang w:val="en-US" w:eastAsia="zh-CN" w:bidi="ar-SA"/>
              </w:rPr>
              <w:t>《办法》第七条第二项</w:t>
            </w:r>
          </w:p>
        </w:tc>
        <w:tc>
          <w:tcPr>
            <w:tcW w:w="8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20"/>
                <w:lang w:val="en-US" w:eastAsia="zh-CN" w:bidi="ar-SA"/>
              </w:rPr>
            </w:pPr>
            <w:r>
              <w:rPr>
                <w:rFonts w:hint="eastAsia"/>
                <w:kern w:val="2"/>
                <w:sz w:val="18"/>
                <w:szCs w:val="20"/>
                <w:lang w:val="en-US" w:eastAsia="zh-CN" w:bidi="ar-SA"/>
              </w:rPr>
              <w:t>2000</w:t>
            </w:r>
          </w:p>
        </w:tc>
        <w:tc>
          <w:tcPr>
            <w:tcW w:w="6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eastAsia="宋体"/>
                <w:kern w:val="2"/>
                <w:sz w:val="21"/>
                <w:szCs w:val="22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exact"/>
          <w:jc w:val="center"/>
        </w:trPr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27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0"/>
                <w:lang w:val="en-US" w:eastAsia="zh-CN" w:bidi="ar-SA"/>
              </w:rPr>
            </w:pPr>
            <w:r>
              <w:rPr>
                <w:rFonts w:hint="eastAsia"/>
                <w:sz w:val="21"/>
                <w:szCs w:val="20"/>
                <w:lang w:eastAsia="zh-CN"/>
              </w:rPr>
              <w:t>广东松田科技股份有限公司</w:t>
            </w:r>
          </w:p>
        </w:tc>
        <w:tc>
          <w:tcPr>
            <w:tcW w:w="46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0"/>
                <w:lang w:val="en-US" w:eastAsia="zh-CN" w:bidi="ar-SA"/>
              </w:rPr>
            </w:pPr>
            <w:r>
              <w:rPr>
                <w:rFonts w:hint="eastAsia"/>
                <w:sz w:val="21"/>
                <w:szCs w:val="20"/>
                <w:lang w:val="en-US" w:eastAsia="zh-CN"/>
              </w:rPr>
              <w:t>GB/T 6109.1-2025《漆包圆绕组线 第1部分：一般规定》</w:t>
            </w:r>
          </w:p>
        </w:tc>
        <w:tc>
          <w:tcPr>
            <w:tcW w:w="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kern w:val="2"/>
                <w:sz w:val="21"/>
                <w:szCs w:val="21"/>
                <w:lang w:val="en-US" w:eastAsia="zh-CN" w:bidi="ar-SA"/>
              </w:rPr>
              <w:t>修订</w:t>
            </w:r>
          </w:p>
        </w:tc>
        <w:tc>
          <w:tcPr>
            <w:tcW w:w="11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kern w:val="2"/>
                <w:sz w:val="21"/>
                <w:szCs w:val="21"/>
                <w:lang w:val="en-US" w:eastAsia="zh-CN" w:bidi="ar-SA"/>
              </w:rPr>
              <w:t xml:space="preserve">协助 </w:t>
            </w:r>
          </w:p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kern w:val="2"/>
                <w:sz w:val="21"/>
                <w:szCs w:val="21"/>
                <w:lang w:val="en-US" w:eastAsia="zh-CN" w:bidi="ar-SA"/>
              </w:rPr>
              <w:t>国家标准</w:t>
            </w:r>
          </w:p>
        </w:tc>
        <w:tc>
          <w:tcPr>
            <w:tcW w:w="15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2025年10月5日</w:t>
            </w:r>
          </w:p>
        </w:tc>
        <w:tc>
          <w:tcPr>
            <w:tcW w:w="11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kern w:val="2"/>
                <w:sz w:val="15"/>
                <w:szCs w:val="15"/>
                <w:lang w:val="en-US" w:eastAsia="zh-CN" w:bidi="ar-SA"/>
              </w:rPr>
              <w:t>《办法》第七条第六项</w:t>
            </w:r>
          </w:p>
        </w:tc>
        <w:tc>
          <w:tcPr>
            <w:tcW w:w="8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/>
                <w:kern w:val="2"/>
                <w:sz w:val="18"/>
                <w:szCs w:val="20"/>
                <w:lang w:val="en-US" w:eastAsia="zh-CN" w:bidi="ar-SA"/>
              </w:rPr>
            </w:pPr>
            <w:r>
              <w:rPr>
                <w:rFonts w:hint="eastAsia"/>
                <w:kern w:val="2"/>
                <w:sz w:val="18"/>
                <w:szCs w:val="20"/>
                <w:lang w:val="en-US" w:eastAsia="zh-CN" w:bidi="ar-SA"/>
              </w:rPr>
              <w:t>1500</w:t>
            </w:r>
          </w:p>
        </w:tc>
        <w:tc>
          <w:tcPr>
            <w:tcW w:w="6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eastAsia="宋体"/>
                <w:kern w:val="2"/>
                <w:sz w:val="21"/>
                <w:szCs w:val="22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7" w:hRule="exact"/>
          <w:jc w:val="center"/>
        </w:trPr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27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0"/>
                <w:lang w:val="en-US" w:eastAsia="zh-CN" w:bidi="ar-SA"/>
              </w:rPr>
            </w:pPr>
            <w:r>
              <w:rPr>
                <w:rFonts w:hint="eastAsia"/>
                <w:sz w:val="21"/>
                <w:szCs w:val="20"/>
                <w:lang w:eastAsia="zh-CN"/>
              </w:rPr>
              <w:t>广东松田科技股份有限公司</w:t>
            </w:r>
          </w:p>
        </w:tc>
        <w:tc>
          <w:tcPr>
            <w:tcW w:w="46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0"/>
                <w:lang w:val="en-US" w:eastAsia="zh-CN" w:bidi="ar-SA"/>
              </w:rPr>
            </w:pPr>
            <w:r>
              <w:rPr>
                <w:rFonts w:hint="eastAsia"/>
                <w:sz w:val="21"/>
                <w:szCs w:val="20"/>
                <w:lang w:val="en-US" w:eastAsia="zh-CN"/>
              </w:rPr>
              <w:t>GB/T 6109.22-2025《漆包圆绕组线 第22部分：240级芳族聚酰亚胺漆包铜圆线</w:t>
            </w:r>
            <w:r>
              <w:rPr>
                <w:rFonts w:hint="eastAsia"/>
                <w:sz w:val="21"/>
                <w:szCs w:val="20"/>
                <w:lang w:eastAsia="zh-CN"/>
              </w:rPr>
              <w:t>》</w:t>
            </w:r>
          </w:p>
        </w:tc>
        <w:tc>
          <w:tcPr>
            <w:tcW w:w="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kern w:val="2"/>
                <w:sz w:val="21"/>
                <w:szCs w:val="21"/>
                <w:lang w:val="en-US" w:eastAsia="zh-CN" w:bidi="ar-SA"/>
              </w:rPr>
              <w:t>修订</w:t>
            </w:r>
          </w:p>
        </w:tc>
        <w:tc>
          <w:tcPr>
            <w:tcW w:w="11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kern w:val="2"/>
                <w:sz w:val="21"/>
                <w:szCs w:val="21"/>
                <w:lang w:val="en-US" w:eastAsia="zh-CN" w:bidi="ar-SA"/>
              </w:rPr>
              <w:t xml:space="preserve">协助 </w:t>
            </w:r>
          </w:p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kern w:val="2"/>
                <w:sz w:val="21"/>
                <w:szCs w:val="21"/>
                <w:lang w:val="en-US" w:eastAsia="zh-CN" w:bidi="ar-SA"/>
              </w:rPr>
              <w:t>国家标准</w:t>
            </w:r>
          </w:p>
        </w:tc>
        <w:tc>
          <w:tcPr>
            <w:tcW w:w="15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2025年10月5日</w:t>
            </w:r>
          </w:p>
        </w:tc>
        <w:tc>
          <w:tcPr>
            <w:tcW w:w="11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kern w:val="2"/>
                <w:sz w:val="15"/>
                <w:szCs w:val="15"/>
                <w:lang w:val="en-US" w:eastAsia="zh-CN" w:bidi="ar-SA"/>
              </w:rPr>
              <w:t>《办法》第七条第六项</w:t>
            </w:r>
          </w:p>
        </w:tc>
        <w:tc>
          <w:tcPr>
            <w:tcW w:w="8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/>
                <w:kern w:val="2"/>
                <w:sz w:val="18"/>
                <w:szCs w:val="20"/>
                <w:lang w:val="en-US" w:eastAsia="zh-CN" w:bidi="ar-SA"/>
              </w:rPr>
            </w:pPr>
            <w:r>
              <w:rPr>
                <w:rFonts w:hint="eastAsia"/>
                <w:kern w:val="2"/>
                <w:sz w:val="18"/>
                <w:szCs w:val="20"/>
                <w:lang w:val="en-US" w:eastAsia="zh-CN" w:bidi="ar-SA"/>
              </w:rPr>
              <w:t>1500</w:t>
            </w:r>
          </w:p>
        </w:tc>
        <w:tc>
          <w:tcPr>
            <w:tcW w:w="6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eastAsia="宋体"/>
                <w:kern w:val="2"/>
                <w:sz w:val="21"/>
                <w:szCs w:val="22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7" w:hRule="exact"/>
          <w:jc w:val="center"/>
        </w:trPr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27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0"/>
                <w:lang w:val="en-US" w:eastAsia="zh-CN" w:bidi="ar-SA"/>
              </w:rPr>
            </w:pPr>
            <w:r>
              <w:rPr>
                <w:rFonts w:hint="eastAsia"/>
                <w:sz w:val="21"/>
                <w:szCs w:val="20"/>
                <w:lang w:eastAsia="zh-CN"/>
              </w:rPr>
              <w:t>广东松田科技股份有限公司</w:t>
            </w:r>
          </w:p>
        </w:tc>
        <w:tc>
          <w:tcPr>
            <w:tcW w:w="46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0"/>
                <w:lang w:val="en-US" w:eastAsia="zh-CN" w:bidi="ar-SA"/>
              </w:rPr>
            </w:pPr>
            <w:r>
              <w:rPr>
                <w:rFonts w:hint="eastAsia"/>
                <w:sz w:val="21"/>
                <w:szCs w:val="20"/>
                <w:lang w:val="en-US" w:eastAsia="zh-CN"/>
              </w:rPr>
              <w:t>GB/T 6109.5-2025《漆包圆绕组线 第5部分：180级芳族聚酰亚胺漆包铜圆线</w:t>
            </w:r>
            <w:r>
              <w:rPr>
                <w:rFonts w:hint="eastAsia"/>
                <w:sz w:val="21"/>
                <w:szCs w:val="20"/>
                <w:lang w:eastAsia="zh-CN"/>
              </w:rPr>
              <w:t>》</w:t>
            </w:r>
          </w:p>
        </w:tc>
        <w:tc>
          <w:tcPr>
            <w:tcW w:w="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kern w:val="2"/>
                <w:sz w:val="21"/>
                <w:szCs w:val="21"/>
                <w:lang w:val="en-US" w:eastAsia="zh-CN" w:bidi="ar-SA"/>
              </w:rPr>
              <w:t>修订</w:t>
            </w:r>
          </w:p>
        </w:tc>
        <w:tc>
          <w:tcPr>
            <w:tcW w:w="11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kern w:val="2"/>
                <w:sz w:val="21"/>
                <w:szCs w:val="21"/>
                <w:lang w:val="en-US" w:eastAsia="zh-CN" w:bidi="ar-SA"/>
              </w:rPr>
              <w:t xml:space="preserve">协助 </w:t>
            </w:r>
          </w:p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kern w:val="2"/>
                <w:sz w:val="21"/>
                <w:szCs w:val="21"/>
                <w:lang w:val="en-US" w:eastAsia="zh-CN" w:bidi="ar-SA"/>
              </w:rPr>
              <w:t>国家标准</w:t>
            </w:r>
          </w:p>
        </w:tc>
        <w:tc>
          <w:tcPr>
            <w:tcW w:w="15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2025年10月5日</w:t>
            </w:r>
          </w:p>
        </w:tc>
        <w:tc>
          <w:tcPr>
            <w:tcW w:w="11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kern w:val="2"/>
                <w:sz w:val="15"/>
                <w:szCs w:val="15"/>
                <w:lang w:val="en-US" w:eastAsia="zh-CN" w:bidi="ar-SA"/>
              </w:rPr>
              <w:t>《办法》第七条第六项</w:t>
            </w:r>
          </w:p>
        </w:tc>
        <w:tc>
          <w:tcPr>
            <w:tcW w:w="8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/>
                <w:kern w:val="2"/>
                <w:sz w:val="18"/>
                <w:szCs w:val="20"/>
                <w:lang w:val="en-US" w:eastAsia="zh-CN" w:bidi="ar-SA"/>
              </w:rPr>
            </w:pPr>
            <w:r>
              <w:rPr>
                <w:rFonts w:hint="eastAsia"/>
                <w:kern w:val="2"/>
                <w:sz w:val="18"/>
                <w:szCs w:val="20"/>
                <w:lang w:val="en-US" w:eastAsia="zh-CN" w:bidi="ar-SA"/>
              </w:rPr>
              <w:t>1500</w:t>
            </w:r>
          </w:p>
        </w:tc>
        <w:tc>
          <w:tcPr>
            <w:tcW w:w="6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eastAsia="宋体"/>
                <w:kern w:val="2"/>
                <w:sz w:val="21"/>
                <w:szCs w:val="22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7" w:hRule="exact"/>
          <w:jc w:val="center"/>
        </w:trPr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10</w:t>
            </w:r>
          </w:p>
        </w:tc>
        <w:tc>
          <w:tcPr>
            <w:tcW w:w="27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0"/>
                <w:lang w:val="en-US" w:eastAsia="zh-CN" w:bidi="ar-SA"/>
              </w:rPr>
            </w:pPr>
            <w:r>
              <w:rPr>
                <w:rFonts w:hint="eastAsia"/>
                <w:sz w:val="21"/>
                <w:szCs w:val="20"/>
                <w:lang w:eastAsia="zh-CN"/>
              </w:rPr>
              <w:t>广东松田科技股份有限公司</w:t>
            </w:r>
          </w:p>
        </w:tc>
        <w:tc>
          <w:tcPr>
            <w:tcW w:w="46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0"/>
                <w:lang w:val="en-US" w:eastAsia="zh-CN" w:bidi="ar-SA"/>
              </w:rPr>
            </w:pPr>
            <w:r>
              <w:rPr>
                <w:rFonts w:hint="eastAsia"/>
                <w:sz w:val="21"/>
                <w:szCs w:val="20"/>
                <w:lang w:val="en-US" w:eastAsia="zh-CN"/>
              </w:rPr>
              <w:t>GB/T 6109.23-2025《漆包圆绕组线 第23部分：180级直焊聚氨酯漆包铜圆线</w:t>
            </w:r>
            <w:r>
              <w:rPr>
                <w:rFonts w:hint="eastAsia"/>
                <w:sz w:val="21"/>
                <w:szCs w:val="20"/>
                <w:lang w:eastAsia="zh-CN"/>
              </w:rPr>
              <w:t>》</w:t>
            </w:r>
          </w:p>
        </w:tc>
        <w:tc>
          <w:tcPr>
            <w:tcW w:w="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kern w:val="2"/>
                <w:sz w:val="21"/>
                <w:szCs w:val="21"/>
                <w:lang w:val="en-US" w:eastAsia="zh-CN" w:bidi="ar-SA"/>
              </w:rPr>
              <w:t>修订</w:t>
            </w:r>
          </w:p>
        </w:tc>
        <w:tc>
          <w:tcPr>
            <w:tcW w:w="11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kern w:val="2"/>
                <w:sz w:val="21"/>
                <w:szCs w:val="21"/>
                <w:lang w:val="en-US" w:eastAsia="zh-CN" w:bidi="ar-SA"/>
              </w:rPr>
              <w:t xml:space="preserve">协助 </w:t>
            </w:r>
          </w:p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kern w:val="2"/>
                <w:sz w:val="21"/>
                <w:szCs w:val="21"/>
                <w:lang w:val="en-US" w:eastAsia="zh-CN" w:bidi="ar-SA"/>
              </w:rPr>
              <w:t>国家标准</w:t>
            </w:r>
          </w:p>
        </w:tc>
        <w:tc>
          <w:tcPr>
            <w:tcW w:w="15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2025年10月5日</w:t>
            </w:r>
          </w:p>
        </w:tc>
        <w:tc>
          <w:tcPr>
            <w:tcW w:w="11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kern w:val="2"/>
                <w:sz w:val="15"/>
                <w:szCs w:val="15"/>
                <w:lang w:val="en-US" w:eastAsia="zh-CN" w:bidi="ar-SA"/>
              </w:rPr>
              <w:t>《办法》第七条第六项</w:t>
            </w:r>
          </w:p>
        </w:tc>
        <w:tc>
          <w:tcPr>
            <w:tcW w:w="8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/>
                <w:kern w:val="2"/>
                <w:sz w:val="18"/>
                <w:szCs w:val="20"/>
                <w:lang w:val="en-US" w:eastAsia="zh-CN" w:bidi="ar-SA"/>
              </w:rPr>
            </w:pPr>
            <w:r>
              <w:rPr>
                <w:rFonts w:hint="eastAsia"/>
                <w:kern w:val="2"/>
                <w:sz w:val="18"/>
                <w:szCs w:val="20"/>
                <w:lang w:val="en-US" w:eastAsia="zh-CN" w:bidi="ar-SA"/>
              </w:rPr>
              <w:t>1500</w:t>
            </w:r>
          </w:p>
        </w:tc>
        <w:tc>
          <w:tcPr>
            <w:tcW w:w="6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eastAsia="宋体"/>
                <w:kern w:val="2"/>
                <w:sz w:val="21"/>
                <w:szCs w:val="22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exact"/>
          <w:jc w:val="center"/>
        </w:trPr>
        <w:tc>
          <w:tcPr>
            <w:tcW w:w="1266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right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合计：</w:t>
            </w:r>
          </w:p>
        </w:tc>
        <w:tc>
          <w:tcPr>
            <w:tcW w:w="8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eastAsia="宋体"/>
                <w:sz w:val="18"/>
                <w:szCs w:val="20"/>
                <w:lang w:val="en-US" w:eastAsia="zh-CN"/>
              </w:rPr>
            </w:pPr>
            <w:r>
              <w:rPr>
                <w:rFonts w:hint="eastAsia"/>
                <w:sz w:val="18"/>
                <w:szCs w:val="20"/>
                <w:lang w:val="en-US" w:eastAsia="zh-CN"/>
              </w:rPr>
              <w:t>17500</w:t>
            </w:r>
          </w:p>
        </w:tc>
        <w:tc>
          <w:tcPr>
            <w:tcW w:w="6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eastAsia="宋体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exact"/>
          <w:jc w:val="center"/>
        </w:trPr>
        <w:tc>
          <w:tcPr>
            <w:tcW w:w="14184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tbl>
            <w:tblPr>
              <w:tblStyle w:val="4"/>
              <w:tblW w:w="0" w:type="auto"/>
              <w:tblInd w:w="-176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4601"/>
            </w:tblGrid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25" w:hRule="atLeast"/>
              </w:trPr>
              <w:tc>
                <w:tcPr>
                  <w:tcW w:w="14601" w:type="dxa"/>
                  <w:tcBorders>
                    <w:top w:val="single" w:color="auto" w:sz="4" w:space="0"/>
                    <w:bottom w:val="single" w:color="auto" w:sz="4" w:space="0"/>
                  </w:tcBorders>
                  <w:noWrap w:val="0"/>
                  <w:vAlign w:val="center"/>
                </w:tcPr>
                <w:p>
                  <w:pPr>
                    <w:widowControl/>
                    <w:jc w:val="left"/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</w:pP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  <w:t>注：以上所称《办法》是指《</w:t>
                  </w: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  <w:lang w:eastAsia="zh-CN"/>
                    </w:rPr>
                    <w:t>台山</w:t>
                  </w:r>
                  <w:r>
                    <w:rPr>
                      <w:rFonts w:hint="eastAsia" w:ascii="宋体" w:hAnsi="宋体" w:eastAsia="宋体" w:cs="宋体"/>
                      <w:kern w:val="0"/>
                      <w:sz w:val="18"/>
                      <w:szCs w:val="18"/>
                    </w:rPr>
                    <w:t>市实施标准化战略专项资金使用管理办法</w:t>
                  </w:r>
                  <w:r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  <w:t>》。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25" w:hRule="atLeast"/>
              </w:trPr>
              <w:tc>
                <w:tcPr>
                  <w:tcW w:w="14601" w:type="dxa"/>
                  <w:tcBorders>
                    <w:top w:val="single" w:color="auto" w:sz="4" w:space="0"/>
                  </w:tcBorders>
                  <w:noWrap w:val="0"/>
                  <w:vAlign w:val="center"/>
                </w:tcPr>
                <w:p>
                  <w:pPr>
                    <w:widowControl/>
                    <w:jc w:val="left"/>
                    <w:rPr>
                      <w:rFonts w:hint="eastAsia" w:ascii="宋体" w:hAnsi="宋体" w:cs="宋体"/>
                      <w:kern w:val="0"/>
                      <w:sz w:val="18"/>
                      <w:szCs w:val="18"/>
                    </w:rPr>
                  </w:pPr>
                </w:p>
              </w:tc>
            </w:tr>
          </w:tbl>
          <w:p>
            <w:pPr>
              <w:adjustRightInd w:val="0"/>
              <w:snapToGrid w:val="0"/>
              <w:jc w:val="center"/>
              <w:rPr>
                <w:rFonts w:hint="eastAsia"/>
              </w:rPr>
            </w:pPr>
          </w:p>
        </w:tc>
      </w:tr>
    </w:tbl>
    <w:p>
      <w:pPr>
        <w:rPr>
          <w:rFonts w:hint="eastAsia" w:eastAsia="宋体"/>
          <w:b/>
          <w:sz w:val="24"/>
          <w:szCs w:val="24"/>
          <w:lang w:val="en-US" w:eastAsia="zh-CN"/>
        </w:rPr>
      </w:pPr>
    </w:p>
    <w:sectPr>
      <w:pgSz w:w="16838" w:h="11906" w:orient="landscape"/>
      <w:pgMar w:top="709" w:right="1440" w:bottom="851" w:left="1440" w:header="851" w:footer="425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g0NDM5ZDk3NDQ5YTk1YmY1NDdlZTE3NDA3M2MwMWYifQ=="/>
  </w:docVars>
  <w:rsids>
    <w:rsidRoot w:val="00172A27"/>
    <w:rsid w:val="00000DE6"/>
    <w:rsid w:val="00034979"/>
    <w:rsid w:val="0007572C"/>
    <w:rsid w:val="00090D80"/>
    <w:rsid w:val="00092A7A"/>
    <w:rsid w:val="00097A12"/>
    <w:rsid w:val="001075E6"/>
    <w:rsid w:val="00126444"/>
    <w:rsid w:val="0014193E"/>
    <w:rsid w:val="00165D10"/>
    <w:rsid w:val="00175103"/>
    <w:rsid w:val="0018591A"/>
    <w:rsid w:val="001A28CE"/>
    <w:rsid w:val="001B663D"/>
    <w:rsid w:val="001F62E3"/>
    <w:rsid w:val="002103D0"/>
    <w:rsid w:val="00213FF8"/>
    <w:rsid w:val="00214436"/>
    <w:rsid w:val="00232627"/>
    <w:rsid w:val="002824E9"/>
    <w:rsid w:val="002F23AF"/>
    <w:rsid w:val="0031676A"/>
    <w:rsid w:val="003171AE"/>
    <w:rsid w:val="00341D69"/>
    <w:rsid w:val="00351E7D"/>
    <w:rsid w:val="003870F1"/>
    <w:rsid w:val="00391723"/>
    <w:rsid w:val="003935BB"/>
    <w:rsid w:val="003B6F81"/>
    <w:rsid w:val="003E3DBF"/>
    <w:rsid w:val="003F1B1B"/>
    <w:rsid w:val="003F67E0"/>
    <w:rsid w:val="00401C27"/>
    <w:rsid w:val="0040509D"/>
    <w:rsid w:val="00447C68"/>
    <w:rsid w:val="00463134"/>
    <w:rsid w:val="00465C05"/>
    <w:rsid w:val="00471A22"/>
    <w:rsid w:val="004A18D9"/>
    <w:rsid w:val="004C34CF"/>
    <w:rsid w:val="004E0A46"/>
    <w:rsid w:val="004E0C66"/>
    <w:rsid w:val="00525BF9"/>
    <w:rsid w:val="00566B13"/>
    <w:rsid w:val="00593606"/>
    <w:rsid w:val="005C56AD"/>
    <w:rsid w:val="005D573A"/>
    <w:rsid w:val="005E214B"/>
    <w:rsid w:val="005F1C3D"/>
    <w:rsid w:val="005F229A"/>
    <w:rsid w:val="005F2A6F"/>
    <w:rsid w:val="00626A26"/>
    <w:rsid w:val="006278A7"/>
    <w:rsid w:val="00640CCB"/>
    <w:rsid w:val="0064763B"/>
    <w:rsid w:val="006834E0"/>
    <w:rsid w:val="006962E2"/>
    <w:rsid w:val="006A2EB7"/>
    <w:rsid w:val="006A3902"/>
    <w:rsid w:val="006D78A8"/>
    <w:rsid w:val="0073511A"/>
    <w:rsid w:val="00773A8C"/>
    <w:rsid w:val="00792848"/>
    <w:rsid w:val="007941A7"/>
    <w:rsid w:val="007C3581"/>
    <w:rsid w:val="007C6BEB"/>
    <w:rsid w:val="007E02E7"/>
    <w:rsid w:val="007E460B"/>
    <w:rsid w:val="007F3B80"/>
    <w:rsid w:val="00855034"/>
    <w:rsid w:val="008B2D9A"/>
    <w:rsid w:val="008D139B"/>
    <w:rsid w:val="008D70B5"/>
    <w:rsid w:val="00907773"/>
    <w:rsid w:val="00910D58"/>
    <w:rsid w:val="00971CC3"/>
    <w:rsid w:val="009768E4"/>
    <w:rsid w:val="00A21EA7"/>
    <w:rsid w:val="00A23848"/>
    <w:rsid w:val="00A37C7E"/>
    <w:rsid w:val="00A636DB"/>
    <w:rsid w:val="00AA0BB6"/>
    <w:rsid w:val="00AB7B3A"/>
    <w:rsid w:val="00AD53AF"/>
    <w:rsid w:val="00AE2CEE"/>
    <w:rsid w:val="00AF6815"/>
    <w:rsid w:val="00B170A7"/>
    <w:rsid w:val="00B2205E"/>
    <w:rsid w:val="00B607D5"/>
    <w:rsid w:val="00B63CB9"/>
    <w:rsid w:val="00B64556"/>
    <w:rsid w:val="00B96BC8"/>
    <w:rsid w:val="00BE3EE1"/>
    <w:rsid w:val="00C17485"/>
    <w:rsid w:val="00C26412"/>
    <w:rsid w:val="00C36B6D"/>
    <w:rsid w:val="00C41571"/>
    <w:rsid w:val="00C43E1C"/>
    <w:rsid w:val="00C54D90"/>
    <w:rsid w:val="00C618AD"/>
    <w:rsid w:val="00CB457E"/>
    <w:rsid w:val="00CB4BAD"/>
    <w:rsid w:val="00CB6581"/>
    <w:rsid w:val="00CC121D"/>
    <w:rsid w:val="00CC1DFA"/>
    <w:rsid w:val="00CC5259"/>
    <w:rsid w:val="00CC563B"/>
    <w:rsid w:val="00CD4A45"/>
    <w:rsid w:val="00D14A18"/>
    <w:rsid w:val="00D45BC8"/>
    <w:rsid w:val="00D67E1F"/>
    <w:rsid w:val="00D72BD6"/>
    <w:rsid w:val="00D806C7"/>
    <w:rsid w:val="00DA6EB4"/>
    <w:rsid w:val="00DB2E1D"/>
    <w:rsid w:val="00DD218E"/>
    <w:rsid w:val="00DF1B8B"/>
    <w:rsid w:val="00E15267"/>
    <w:rsid w:val="00E27D36"/>
    <w:rsid w:val="00E3722D"/>
    <w:rsid w:val="00E71CAA"/>
    <w:rsid w:val="00EA604D"/>
    <w:rsid w:val="00ED7F67"/>
    <w:rsid w:val="00EE189F"/>
    <w:rsid w:val="00F12ABB"/>
    <w:rsid w:val="00F173FD"/>
    <w:rsid w:val="00F51862"/>
    <w:rsid w:val="00F52DDD"/>
    <w:rsid w:val="00F656BE"/>
    <w:rsid w:val="00F83572"/>
    <w:rsid w:val="00F942CB"/>
    <w:rsid w:val="00F968BC"/>
    <w:rsid w:val="00FC3E27"/>
    <w:rsid w:val="01A26771"/>
    <w:rsid w:val="01A5152A"/>
    <w:rsid w:val="0222389D"/>
    <w:rsid w:val="044C27AC"/>
    <w:rsid w:val="052D5C89"/>
    <w:rsid w:val="06442ED9"/>
    <w:rsid w:val="07E0545D"/>
    <w:rsid w:val="086C6865"/>
    <w:rsid w:val="0ACD3ABE"/>
    <w:rsid w:val="0E1A1D85"/>
    <w:rsid w:val="0EE34B5A"/>
    <w:rsid w:val="0F4E47FD"/>
    <w:rsid w:val="0F5B41CF"/>
    <w:rsid w:val="11E80830"/>
    <w:rsid w:val="12AD31C8"/>
    <w:rsid w:val="132316DC"/>
    <w:rsid w:val="15873C44"/>
    <w:rsid w:val="15ED74D2"/>
    <w:rsid w:val="17F43EE6"/>
    <w:rsid w:val="181141F9"/>
    <w:rsid w:val="18492359"/>
    <w:rsid w:val="188503EE"/>
    <w:rsid w:val="1AE708C3"/>
    <w:rsid w:val="1B913FB9"/>
    <w:rsid w:val="1BF66B1E"/>
    <w:rsid w:val="1D6464DD"/>
    <w:rsid w:val="1E4A1F2E"/>
    <w:rsid w:val="1E657A58"/>
    <w:rsid w:val="1EB6700D"/>
    <w:rsid w:val="20C457B9"/>
    <w:rsid w:val="212541FD"/>
    <w:rsid w:val="237D33D3"/>
    <w:rsid w:val="251C5778"/>
    <w:rsid w:val="28EA6288"/>
    <w:rsid w:val="29107F23"/>
    <w:rsid w:val="2A987420"/>
    <w:rsid w:val="2B7857F7"/>
    <w:rsid w:val="2BA54F2C"/>
    <w:rsid w:val="2D1A6FC1"/>
    <w:rsid w:val="2F1E7D55"/>
    <w:rsid w:val="2FB02968"/>
    <w:rsid w:val="30CE282F"/>
    <w:rsid w:val="314241FA"/>
    <w:rsid w:val="319D2B11"/>
    <w:rsid w:val="31B7308D"/>
    <w:rsid w:val="347C2C6D"/>
    <w:rsid w:val="35552D9A"/>
    <w:rsid w:val="35D12D29"/>
    <w:rsid w:val="35DD5FD2"/>
    <w:rsid w:val="35F02017"/>
    <w:rsid w:val="378A2CBB"/>
    <w:rsid w:val="393570DE"/>
    <w:rsid w:val="3A19366D"/>
    <w:rsid w:val="3BAB20EB"/>
    <w:rsid w:val="3BE76B0F"/>
    <w:rsid w:val="3FCB23DC"/>
    <w:rsid w:val="3FF801B7"/>
    <w:rsid w:val="41E130B9"/>
    <w:rsid w:val="42756019"/>
    <w:rsid w:val="43411180"/>
    <w:rsid w:val="43D5018C"/>
    <w:rsid w:val="46867B39"/>
    <w:rsid w:val="47EF469E"/>
    <w:rsid w:val="4B105BCE"/>
    <w:rsid w:val="4B1E1205"/>
    <w:rsid w:val="4B593C97"/>
    <w:rsid w:val="4D236F62"/>
    <w:rsid w:val="4E1765AA"/>
    <w:rsid w:val="5003209D"/>
    <w:rsid w:val="528E3B6C"/>
    <w:rsid w:val="542D128D"/>
    <w:rsid w:val="55524158"/>
    <w:rsid w:val="56FE0395"/>
    <w:rsid w:val="58C24277"/>
    <w:rsid w:val="5BFB1170"/>
    <w:rsid w:val="5E6E26D7"/>
    <w:rsid w:val="5F0967B2"/>
    <w:rsid w:val="6034779D"/>
    <w:rsid w:val="60D77D26"/>
    <w:rsid w:val="62272D58"/>
    <w:rsid w:val="63D476CD"/>
    <w:rsid w:val="643C58DE"/>
    <w:rsid w:val="64B05712"/>
    <w:rsid w:val="65B351C8"/>
    <w:rsid w:val="68111A8C"/>
    <w:rsid w:val="6824156F"/>
    <w:rsid w:val="68ED6CE2"/>
    <w:rsid w:val="6B705001"/>
    <w:rsid w:val="6BFDD181"/>
    <w:rsid w:val="6CAA756B"/>
    <w:rsid w:val="6CC272F8"/>
    <w:rsid w:val="6D5E6105"/>
    <w:rsid w:val="6DF30E56"/>
    <w:rsid w:val="6ECA348F"/>
    <w:rsid w:val="6EF41474"/>
    <w:rsid w:val="6F5FD53C"/>
    <w:rsid w:val="7043106F"/>
    <w:rsid w:val="71445AA1"/>
    <w:rsid w:val="716C7FAE"/>
    <w:rsid w:val="719E0D52"/>
    <w:rsid w:val="74D92A96"/>
    <w:rsid w:val="759B6795"/>
    <w:rsid w:val="7B13675F"/>
    <w:rsid w:val="7D7358BD"/>
    <w:rsid w:val="7E6D5654"/>
    <w:rsid w:val="7E6E7E08"/>
    <w:rsid w:val="7EDF505F"/>
    <w:rsid w:val="7FAE1F7D"/>
    <w:rsid w:val="E4BDF757"/>
    <w:rsid w:val="FB5BC44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nhideWhenUsed="0"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qFormat/>
    <w:uiPriority w:val="0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2"/>
      <w:sz w:val="18"/>
      <w:szCs w:val="18"/>
    </w:rPr>
  </w:style>
  <w:style w:type="paragraph" w:styleId="3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2"/>
      <w:sz w:val="18"/>
      <w:szCs w:val="18"/>
    </w:rPr>
  </w:style>
  <w:style w:type="character" w:styleId="6">
    <w:name w:val="FollowedHyperlink"/>
    <w:basedOn w:val="5"/>
    <w:unhideWhenUsed/>
    <w:qFormat/>
    <w:uiPriority w:val="99"/>
    <w:rPr>
      <w:color w:val="800080"/>
      <w:u w:val="none"/>
    </w:rPr>
  </w:style>
  <w:style w:type="character" w:styleId="7">
    <w:name w:val="Hyperlink"/>
    <w:basedOn w:val="5"/>
    <w:unhideWhenUsed/>
    <w:qFormat/>
    <w:uiPriority w:val="99"/>
    <w:rPr>
      <w:color w:val="0000FF"/>
      <w:u w:val="none"/>
    </w:rPr>
  </w:style>
  <w:style w:type="character" w:customStyle="1" w:styleId="8">
    <w:name w:val="页脚 Char"/>
    <w:link w:val="2"/>
    <w:qFormat/>
    <w:uiPriority w:val="0"/>
    <w:rPr>
      <w:kern w:val="2"/>
      <w:sz w:val="18"/>
      <w:szCs w:val="18"/>
    </w:rPr>
  </w:style>
  <w:style w:type="character" w:customStyle="1" w:styleId="9">
    <w:name w:val="页眉 Char"/>
    <w:link w:val="3"/>
    <w:qFormat/>
    <w:uiPriority w:val="0"/>
    <w:rPr>
      <w:kern w:val="2"/>
      <w:sz w:val="18"/>
      <w:szCs w:val="18"/>
    </w:rPr>
  </w:style>
  <w:style w:type="character" w:customStyle="1" w:styleId="10">
    <w:name w:val="disabled"/>
    <w:basedOn w:val="5"/>
    <w:qFormat/>
    <w:uiPriority w:val="0"/>
    <w:rPr>
      <w:color w:val="CCCCCC"/>
      <w:bdr w:val="single" w:color="DDDDDD" w:sz="4" w:space="0"/>
    </w:rPr>
  </w:style>
  <w:style w:type="character" w:customStyle="1" w:styleId="11">
    <w:name w:val="current1"/>
    <w:basedOn w:val="5"/>
    <w:qFormat/>
    <w:uiPriority w:val="0"/>
    <w:rPr>
      <w:b/>
      <w:bCs/>
      <w:color w:val="FFFFFF"/>
      <w:bdr w:val="single" w:color="DDDDDD" w:sz="4" w:space="0"/>
      <w:shd w:val="clear" w:color="auto" w:fill="D8325D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1199</Words>
  <Characters>1690</Characters>
  <Lines>1</Lines>
  <Paragraphs>1</Paragraphs>
  <TotalTime>0</TotalTime>
  <ScaleCrop>false</ScaleCrop>
  <LinksUpToDate>false</LinksUpToDate>
  <CharactersWithSpaces>1724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2013-04-07T01:36:00Z</dcterms:created>
  <dc:creator>a</dc:creator>
  <cp:lastModifiedBy>吴金明</cp:lastModifiedBy>
  <cp:lastPrinted>2024-10-18T02:47:00Z</cp:lastPrinted>
  <dcterms:modified xsi:type="dcterms:W3CDTF">2026-09-18T07:15:43Z</dcterms:modified>
  <dc:title>附件：　　　2016　年度开平市实施技术标准战略专项资金资助项目汇总表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35BF50FBD1B94C3C8287017B18F42CD4</vt:lpwstr>
  </property>
</Properties>
</file>