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4CC81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b/>
          <w:bCs/>
          <w:sz w:val="44"/>
          <w:szCs w:val="44"/>
        </w:rPr>
      </w:pPr>
    </w:p>
    <w:p w14:paraId="750140D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b/>
          <w:bCs/>
          <w:sz w:val="44"/>
          <w:szCs w:val="44"/>
        </w:rPr>
      </w:pPr>
    </w:p>
    <w:p w14:paraId="0B361F6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b/>
          <w:bCs/>
          <w:sz w:val="44"/>
          <w:szCs w:val="44"/>
        </w:rPr>
      </w:pPr>
    </w:p>
    <w:p w14:paraId="2A086B1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b/>
          <w:bCs/>
          <w:sz w:val="44"/>
          <w:szCs w:val="44"/>
        </w:rPr>
      </w:pPr>
    </w:p>
    <w:p w14:paraId="3D5BA93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b/>
          <w:bCs/>
          <w:sz w:val="44"/>
          <w:szCs w:val="44"/>
        </w:rPr>
      </w:pPr>
      <w:r>
        <w:rPr>
          <w:rFonts w:hint="eastAsia" w:ascii="宋体" w:hAnsi="宋体" w:eastAsia="宋体" w:cs="宋体"/>
          <w:b/>
          <w:bCs/>
          <w:sz w:val="52"/>
          <w:szCs w:val="52"/>
        </w:rPr>
        <w:t>台山市水利发展“十五五”实施方案</w:t>
      </w:r>
    </w:p>
    <w:p w14:paraId="0896ED4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2312" w:hAnsi="方正仿宋_GB2312" w:eastAsia="方正仿宋_GB2312" w:cs="方正仿宋_GB2312"/>
          <w:sz w:val="44"/>
          <w:szCs w:val="44"/>
        </w:rPr>
      </w:pPr>
    </w:p>
    <w:p w14:paraId="04176B6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仿宋_GB2312" w:hAnsi="方正仿宋_GB2312" w:eastAsia="方正仿宋_GB2312" w:cs="方正仿宋_GB2312"/>
          <w:sz w:val="44"/>
          <w:szCs w:val="44"/>
        </w:rPr>
      </w:pPr>
    </w:p>
    <w:p w14:paraId="7846EFC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2312" w:hAnsi="方正仿宋_GB2312" w:eastAsia="方正仿宋_GB2312" w:cs="方正仿宋_GB2312"/>
          <w:sz w:val="44"/>
          <w:szCs w:val="44"/>
        </w:rPr>
      </w:pPr>
      <w:r>
        <w:rPr>
          <w:rFonts w:hint="eastAsia" w:ascii="方正仿宋_GB2312" w:hAnsi="方正仿宋_GB2312" w:eastAsia="方正仿宋_GB2312" w:cs="方正仿宋_GB2312"/>
          <w:sz w:val="44"/>
          <w:szCs w:val="44"/>
        </w:rPr>
        <w:t>（</w:t>
      </w:r>
      <w:r>
        <w:rPr>
          <w:rFonts w:hint="eastAsia" w:ascii="方正仿宋_GB2312" w:hAnsi="方正仿宋_GB2312" w:eastAsia="方正仿宋_GB2312" w:cs="方正仿宋_GB2312"/>
          <w:sz w:val="44"/>
          <w:szCs w:val="44"/>
          <w:lang w:eastAsia="zh-CN"/>
        </w:rPr>
        <w:t>征求意见</w:t>
      </w:r>
      <w:r>
        <w:rPr>
          <w:rFonts w:hint="eastAsia" w:ascii="方正仿宋_GB2312" w:hAnsi="方正仿宋_GB2312" w:eastAsia="方正仿宋_GB2312" w:cs="方正仿宋_GB2312"/>
          <w:sz w:val="44"/>
          <w:szCs w:val="44"/>
        </w:rPr>
        <w:t>稿）</w:t>
      </w:r>
    </w:p>
    <w:p w14:paraId="59A61C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37DF7F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4C67D4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67D29A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4F5917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67DF9F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1B4307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2B8588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73FE9F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54A198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78FF16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154C97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6BAE947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台山市水利局</w:t>
      </w:r>
    </w:p>
    <w:p w14:paraId="4993B4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w:t>
      </w:r>
      <w:r>
        <w:rPr>
          <w:rFonts w:hint="eastAsia" w:ascii="方正仿宋_GB2312" w:hAnsi="方正仿宋_GB2312" w:eastAsia="方正仿宋_GB2312" w:cs="方正仿宋_GB2312"/>
          <w:sz w:val="32"/>
          <w:szCs w:val="32"/>
          <w:lang w:val="en-US" w:eastAsia="zh-CN"/>
        </w:rPr>
        <w:t>6</w:t>
      </w:r>
      <w:r>
        <w:rPr>
          <w:rFonts w:hint="eastAsia" w:ascii="方正仿宋_GB2312" w:hAnsi="方正仿宋_GB2312" w:eastAsia="方正仿宋_GB2312" w:cs="方正仿宋_GB2312"/>
          <w:sz w:val="32"/>
          <w:szCs w:val="32"/>
        </w:rPr>
        <w:t>年</w:t>
      </w:r>
      <w:r>
        <w:rPr>
          <w:rFonts w:hint="eastAsia" w:ascii="方正仿宋_GB2312" w:hAnsi="方正仿宋_GB2312" w:eastAsia="方正仿宋_GB2312" w:cs="方正仿宋_GB2312"/>
          <w:sz w:val="32"/>
          <w:szCs w:val="32"/>
          <w:lang w:val="en-US" w:eastAsia="zh-CN"/>
        </w:rPr>
        <w:t>9</w:t>
      </w:r>
      <w:r>
        <w:rPr>
          <w:rFonts w:hint="eastAsia" w:ascii="方正仿宋_GB2312" w:hAnsi="方正仿宋_GB2312" w:eastAsia="方正仿宋_GB2312" w:cs="方正仿宋_GB2312"/>
          <w:sz w:val="32"/>
          <w:szCs w:val="32"/>
        </w:rPr>
        <w:t>月</w:t>
      </w:r>
    </w:p>
    <w:p w14:paraId="701031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为系统提升“十五五”时期</w:t>
      </w:r>
      <w:r>
        <w:rPr>
          <w:rFonts w:hint="eastAsia" w:ascii="方正仿宋_GB2312" w:hAnsi="方正仿宋_GB2312" w:eastAsia="方正仿宋_GB2312" w:cs="方正仿宋_GB2312"/>
          <w:sz w:val="32"/>
          <w:szCs w:val="32"/>
          <w:lang w:eastAsia="zh-CN"/>
        </w:rPr>
        <w:t>台山</w:t>
      </w:r>
      <w:r>
        <w:rPr>
          <w:rFonts w:hint="eastAsia" w:ascii="方正仿宋_GB2312" w:hAnsi="方正仿宋_GB2312" w:eastAsia="方正仿宋_GB2312" w:cs="方正仿宋_GB2312"/>
          <w:sz w:val="32"/>
          <w:szCs w:val="32"/>
        </w:rPr>
        <w:t>市水安全保障能力，推动</w:t>
      </w:r>
      <w:r>
        <w:rPr>
          <w:rFonts w:hint="eastAsia" w:ascii="方正仿宋_GB2312" w:hAnsi="方正仿宋_GB2312" w:eastAsia="方正仿宋_GB2312" w:cs="方正仿宋_GB2312"/>
          <w:sz w:val="32"/>
          <w:szCs w:val="32"/>
          <w:lang w:eastAsia="zh-CN"/>
        </w:rPr>
        <w:t>台山</w:t>
      </w:r>
      <w:r>
        <w:rPr>
          <w:rFonts w:hint="eastAsia" w:ascii="方正仿宋_GB2312" w:hAnsi="方正仿宋_GB2312" w:eastAsia="方正仿宋_GB2312" w:cs="方正仿宋_GB2312"/>
          <w:sz w:val="32"/>
          <w:szCs w:val="32"/>
        </w:rPr>
        <w:t>市水利现代化水平走在</w:t>
      </w:r>
      <w:r>
        <w:rPr>
          <w:rFonts w:hint="eastAsia" w:ascii="方正仿宋_GB2312" w:hAnsi="方正仿宋_GB2312" w:eastAsia="方正仿宋_GB2312" w:cs="方正仿宋_GB2312"/>
          <w:sz w:val="32"/>
          <w:szCs w:val="32"/>
          <w:lang w:eastAsia="zh-CN"/>
        </w:rPr>
        <w:t>江门市</w:t>
      </w:r>
      <w:r>
        <w:rPr>
          <w:rFonts w:hint="eastAsia" w:ascii="方正仿宋_GB2312" w:hAnsi="方正仿宋_GB2312" w:eastAsia="方正仿宋_GB2312" w:cs="方正仿宋_GB2312"/>
          <w:sz w:val="32"/>
          <w:szCs w:val="32"/>
        </w:rPr>
        <w:t>前列，现结合实际编制本</w:t>
      </w:r>
      <w:r>
        <w:rPr>
          <w:rFonts w:hint="eastAsia" w:ascii="方正仿宋_GB2312" w:hAnsi="方正仿宋_GB2312" w:eastAsia="方正仿宋_GB2312" w:cs="方正仿宋_GB2312"/>
          <w:sz w:val="32"/>
          <w:szCs w:val="32"/>
          <w:lang w:eastAsia="zh-CN"/>
        </w:rPr>
        <w:t>实施方案</w:t>
      </w:r>
      <w:r>
        <w:rPr>
          <w:rFonts w:hint="eastAsia" w:ascii="方正仿宋_GB2312" w:hAnsi="方正仿宋_GB2312" w:eastAsia="方正仿宋_GB2312" w:cs="方正仿宋_GB2312"/>
          <w:sz w:val="32"/>
          <w:szCs w:val="32"/>
        </w:rPr>
        <w:t>，实施方案期限为2026年至2030年</w:t>
      </w:r>
      <w:r>
        <w:rPr>
          <w:rFonts w:hint="eastAsia" w:ascii="方正仿宋_GB2312" w:hAnsi="方正仿宋_GB2312" w:eastAsia="方正仿宋_GB2312" w:cs="方正仿宋_GB2312"/>
          <w:sz w:val="32"/>
          <w:szCs w:val="32"/>
          <w:lang w:eastAsia="zh-CN"/>
        </w:rPr>
        <w:t>。</w:t>
      </w:r>
    </w:p>
    <w:p w14:paraId="73CDF8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w:t>
      </w:r>
      <w:r>
        <w:rPr>
          <w:rFonts w:hint="eastAsia" w:ascii="黑体" w:hAnsi="黑体" w:eastAsia="黑体" w:cs="黑体"/>
          <w:sz w:val="32"/>
          <w:szCs w:val="32"/>
        </w:rPr>
        <w:t>、</w:t>
      </w:r>
      <w:r>
        <w:rPr>
          <w:rFonts w:hint="eastAsia" w:ascii="黑体" w:hAnsi="黑体" w:eastAsia="黑体" w:cs="黑体"/>
          <w:sz w:val="32"/>
          <w:szCs w:val="32"/>
          <w:lang w:eastAsia="zh-CN"/>
        </w:rPr>
        <w:t>总体要求</w:t>
      </w:r>
    </w:p>
    <w:p w14:paraId="58DC37D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rPr>
        <w:t>（一）</w:t>
      </w:r>
      <w:r>
        <w:rPr>
          <w:rFonts w:hint="eastAsia" w:ascii="楷体_GB2312" w:hAnsi="楷体_GB2312" w:eastAsia="楷体_GB2312" w:cs="楷体_GB2312"/>
          <w:b/>
          <w:bCs/>
          <w:sz w:val="32"/>
          <w:szCs w:val="32"/>
          <w:lang w:eastAsia="zh-CN"/>
        </w:rPr>
        <w:t>指导思想</w:t>
      </w:r>
    </w:p>
    <w:p w14:paraId="68D7E6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以习近平新时代中国特色社会主义思想为指导，全面贯彻党的二十大和二十届二中、三中全会精神，深入贯彻习近平总书记视察广东重要讲话重要指示精神，积极践行“节水优先、空间均衡、系统治理、两手发力”治水思路和关于治水的重要论述。完整、准确、全面贯彻新发展理念，落实省委“1310”具体部署，以“百县千镇万村高质量发展工程”和绿美广东生态建设为引领，聚力实施“651”江门水利高质量发展蓝图。</w:t>
      </w:r>
    </w:p>
    <w:p w14:paraId="143E35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围绕保障台山水安全目标和绿美台山生态建设任务，统筹水安全、水资源、水环境、水生态、水文化、水经济、水管护“七水共治”，着力提升防洪减灾、水资源节约集约利用、乡村振兴供水保障、河湖生态保护治理、水利数字化治理能力。构建“四纵三横、多道多渠、一枢十库、六网融合、水美台山”的现代化水网，有效衔接省级、市级水网，为台山市建设成为先进制造新高地、海洋经济增长极、现代农业示范区、华侨文化展示地提供有力水安全保障。</w:t>
      </w:r>
    </w:p>
    <w:p w14:paraId="0D16A71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（二）发展目标</w:t>
      </w:r>
    </w:p>
    <w:p w14:paraId="1C971D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到2030年，水利高质量发展取得新进展，构建安全牢固、生态和谐、空间均衡、适度超前的现代化水利工程体系，以及系统完备、运行高效、管控有力、智慧融合的现代化水利治理体系，水安全保障能力有效提升，绿色水经济活力全面激活，水利支撑社会经济高质量发展作用明显增强。</w:t>
      </w:r>
    </w:p>
    <w:p w14:paraId="34C4AB0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1.防灾减灾体系更加安全牢固。</w:t>
      </w:r>
      <w:r>
        <w:rPr>
          <w:rFonts w:hint="eastAsia" w:ascii="方正仿宋_GB2312" w:hAnsi="方正仿宋_GB2312" w:eastAsia="方正仿宋_GB2312" w:cs="方正仿宋_GB2312"/>
          <w:sz w:val="32"/>
          <w:szCs w:val="32"/>
        </w:rPr>
        <w:t>洪水风险管理体系逐步完善，逐步形成体系完备、标准适宜、安全可靠、协调配套的现代防洪减灾体系，山洪灾害监测预警及应急协同处置能力进一步增强，保障台山市城乡防洪排涝安全。</w:t>
      </w:r>
    </w:p>
    <w:p w14:paraId="562DE36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2.水资源保障格局更加均衡完善。</w:t>
      </w:r>
      <w:r>
        <w:rPr>
          <w:rFonts w:hint="eastAsia" w:ascii="方正仿宋_GB2312" w:hAnsi="方正仿宋_GB2312" w:eastAsia="方正仿宋_GB2312" w:cs="方正仿宋_GB2312"/>
          <w:sz w:val="32"/>
          <w:szCs w:val="32"/>
        </w:rPr>
        <w:t>多源互济、互联互通、统筹调配的水资源配置格局基本形成，城乡一体化供水格局更加均衡完善，城乡供水安全保障水平与应急能力显著提升。</w:t>
      </w:r>
    </w:p>
    <w:p w14:paraId="6C07475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3.乡村振兴水利保障更加强劲有力。</w:t>
      </w:r>
      <w:r>
        <w:rPr>
          <w:rFonts w:hint="eastAsia" w:ascii="方正仿宋_GB2312" w:hAnsi="方正仿宋_GB2312" w:eastAsia="方正仿宋_GB2312" w:cs="方正仿宋_GB2312"/>
          <w:sz w:val="32"/>
          <w:szCs w:val="32"/>
        </w:rPr>
        <w:t>农村供水基础设施短板全面补齐，农村供水保障体系进一步健全。灌排通畅、调度高效、生态优美、管理智能的现代化灌溉体系基本建成农村水利工程设施管护水平提升，农村水系综合治理取得显著成效。</w:t>
      </w:r>
    </w:p>
    <w:p w14:paraId="33E566D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4.河湖生态环境更加绿美健康。</w:t>
      </w:r>
      <w:r>
        <w:rPr>
          <w:rFonts w:hint="eastAsia" w:ascii="方正仿宋_GB2312" w:hAnsi="方正仿宋_GB2312" w:eastAsia="方正仿宋_GB2312" w:cs="方正仿宋_GB2312"/>
          <w:sz w:val="32"/>
          <w:szCs w:val="32"/>
        </w:rPr>
        <w:t>河湖长制深化推进，河湖管护水平提升，全域幸福河湖建设初见成效，生态绿色、河湖健康、人水和谐的水生态保护格局基本形成。</w:t>
      </w:r>
    </w:p>
    <w:p w14:paraId="51CEBEF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5.水利监管水平更加智能高效。</w:t>
      </w:r>
      <w:r>
        <w:rPr>
          <w:rFonts w:hint="eastAsia" w:ascii="方正仿宋_GB2312" w:hAnsi="方正仿宋_GB2312" w:eastAsia="方正仿宋_GB2312" w:cs="方正仿宋_GB2312"/>
          <w:sz w:val="32"/>
          <w:szCs w:val="32"/>
        </w:rPr>
        <w:t>全面感知、融合高效、协同智能的智慧水利体系基本建成，数字孪生流域、工程、水网、灌区基本实现，智能化、精细化监管水平显著提升。</w:t>
      </w:r>
    </w:p>
    <w:p w14:paraId="5DB12CA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6.水利现代化治理能力进一步增强。</w:t>
      </w:r>
      <w:r>
        <w:rPr>
          <w:rFonts w:hint="eastAsia" w:ascii="方正仿宋_GB2312" w:hAnsi="方正仿宋_GB2312" w:eastAsia="方正仿宋_GB2312" w:cs="方正仿宋_GB2312"/>
          <w:sz w:val="32"/>
          <w:szCs w:val="32"/>
        </w:rPr>
        <w:t>水利重点领域和关键环节改革持续深化，重大水利工程建设、运行、管理体制机制健全，</w:t>
      </w:r>
      <w:r>
        <w:rPr>
          <w:rFonts w:hint="eastAsia" w:ascii="方正仿宋_GB2312" w:hAnsi="方正仿宋_GB2312" w:eastAsia="方正仿宋_GB2312" w:cs="方正仿宋_GB2312"/>
          <w:sz w:val="32"/>
          <w:szCs w:val="32"/>
          <w:lang w:eastAsia="zh-CN"/>
        </w:rPr>
        <w:t>探索</w:t>
      </w:r>
      <w:r>
        <w:rPr>
          <w:rFonts w:hint="eastAsia" w:ascii="方正仿宋_GB2312" w:hAnsi="方正仿宋_GB2312" w:eastAsia="方正仿宋_GB2312" w:cs="方正仿宋_GB2312"/>
          <w:sz w:val="32"/>
          <w:szCs w:val="32"/>
        </w:rPr>
        <w:t>水生态产品价值实现机制。</w:t>
      </w:r>
    </w:p>
    <w:p w14:paraId="24311B7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（三）主要指标</w:t>
      </w:r>
    </w:p>
    <w:p w14:paraId="2C36BCC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b/>
          <w:bCs/>
          <w:color w:val="000000"/>
          <w:spacing w:val="0"/>
          <w:kern w:val="0"/>
          <w:sz w:val="32"/>
          <w:szCs w:val="32"/>
          <w:lang w:val="en-US" w:eastAsia="zh-CN" w:bidi="ar"/>
        </w:rPr>
        <w:t>台山市水利发展“十五五”规划指标体系</w:t>
      </w:r>
    </w:p>
    <w:tbl>
      <w:tblPr>
        <w:tblStyle w:val="6"/>
        <w:tblW w:w="87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577"/>
        <w:gridCol w:w="3842"/>
        <w:gridCol w:w="917"/>
        <w:gridCol w:w="1128"/>
        <w:gridCol w:w="1128"/>
        <w:gridCol w:w="1128"/>
      </w:tblGrid>
      <w:tr w14:paraId="5652D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71" w:hRule="atLeast"/>
        </w:trPr>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2161E">
            <w:pPr>
              <w:pStyle w:val="5"/>
              <w:keepNext w:val="0"/>
              <w:keepLines w:val="0"/>
              <w:widowControl/>
              <w:suppressLineNumbers w:val="0"/>
              <w:spacing w:before="0" w:beforeAutospacing="1" w:after="0" w:afterAutospacing="1"/>
              <w:ind w:left="0" w:right="0" w:firstLine="0"/>
              <w:jc w:val="right"/>
              <w:textAlignment w:val="center"/>
              <w:rPr>
                <w:rFonts w:hint="default" w:ascii="Calibri" w:hAnsi="Calibri" w:eastAsia="宋体" w:cs="Times New Roman"/>
                <w:b/>
                <w:bCs/>
                <w:kern w:val="0"/>
                <w:sz w:val="24"/>
                <w:szCs w:val="24"/>
              </w:rPr>
            </w:pPr>
            <w:r>
              <w:rPr>
                <w:rFonts w:hint="eastAsia" w:ascii="宋体" w:hAnsi="宋体" w:eastAsia="宋体" w:cs="宋体"/>
                <w:b/>
                <w:bCs/>
                <w:color w:val="000000"/>
                <w:spacing w:val="0"/>
                <w:kern w:val="0"/>
                <w:sz w:val="22"/>
                <w:szCs w:val="22"/>
                <w:lang w:val="en-US" w:eastAsia="zh-CN" w:bidi="ar"/>
              </w:rPr>
              <w:t>序号</w:t>
            </w: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4006A143">
            <w:pPr>
              <w:pStyle w:val="5"/>
              <w:keepNext w:val="0"/>
              <w:keepLines w:val="0"/>
              <w:widowControl/>
              <w:suppressLineNumbers w:val="0"/>
              <w:spacing w:before="0" w:beforeAutospacing="1" w:after="0" w:afterAutospacing="1"/>
              <w:ind w:left="0" w:right="0" w:firstLine="0"/>
              <w:jc w:val="center"/>
              <w:textAlignment w:val="center"/>
              <w:rPr>
                <w:rFonts w:hint="default" w:ascii="Calibri" w:hAnsi="Calibri" w:eastAsia="宋体" w:cs="Times New Roman"/>
                <w:b/>
                <w:bCs/>
                <w:kern w:val="0"/>
                <w:sz w:val="24"/>
                <w:szCs w:val="24"/>
              </w:rPr>
            </w:pPr>
            <w:r>
              <w:rPr>
                <w:rFonts w:hint="eastAsia" w:ascii="宋体" w:hAnsi="宋体" w:eastAsia="宋体" w:cs="宋体"/>
                <w:b/>
                <w:bCs/>
                <w:color w:val="000000"/>
                <w:spacing w:val="0"/>
                <w:kern w:val="0"/>
                <w:sz w:val="22"/>
                <w:szCs w:val="22"/>
                <w:lang w:val="en-US" w:eastAsia="zh-CN" w:bidi="ar"/>
              </w:rPr>
              <w:t>主要指标</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1AA8DA03">
            <w:pPr>
              <w:pStyle w:val="5"/>
              <w:keepNext w:val="0"/>
              <w:keepLines w:val="0"/>
              <w:widowControl/>
              <w:suppressLineNumbers w:val="0"/>
              <w:spacing w:before="0" w:beforeAutospacing="1" w:after="0" w:afterAutospacing="1"/>
              <w:ind w:left="0" w:right="0" w:firstLine="0"/>
              <w:jc w:val="center"/>
              <w:textAlignment w:val="center"/>
              <w:rPr>
                <w:rFonts w:hint="default" w:ascii="Calibri" w:hAnsi="Calibri" w:eastAsia="宋体" w:cs="Times New Roman"/>
                <w:b/>
                <w:bCs/>
                <w:kern w:val="0"/>
                <w:sz w:val="24"/>
                <w:szCs w:val="24"/>
              </w:rPr>
            </w:pPr>
            <w:r>
              <w:rPr>
                <w:rFonts w:hint="eastAsia" w:ascii="宋体" w:hAnsi="宋体" w:eastAsia="宋体" w:cs="宋体"/>
                <w:b/>
                <w:bCs/>
                <w:color w:val="000000"/>
                <w:spacing w:val="0"/>
                <w:kern w:val="0"/>
                <w:sz w:val="22"/>
                <w:szCs w:val="22"/>
                <w:lang w:val="en-US" w:eastAsia="zh-CN" w:bidi="ar"/>
              </w:rPr>
              <w:t>单位</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3D851E3F">
            <w:pPr>
              <w:pStyle w:val="5"/>
              <w:keepNext w:val="0"/>
              <w:keepLines w:val="0"/>
              <w:widowControl/>
              <w:suppressLineNumbers w:val="0"/>
              <w:spacing w:before="0" w:beforeAutospacing="1" w:after="0" w:afterAutospacing="1"/>
              <w:ind w:left="0" w:right="0" w:firstLine="0"/>
              <w:jc w:val="center"/>
              <w:textAlignment w:val="center"/>
              <w:rPr>
                <w:rFonts w:hint="default" w:ascii="Calibri" w:hAnsi="Calibri" w:eastAsia="宋体" w:cs="Times New Roman"/>
                <w:b/>
                <w:bCs/>
                <w:kern w:val="0"/>
                <w:sz w:val="24"/>
                <w:szCs w:val="24"/>
              </w:rPr>
            </w:pPr>
            <w:r>
              <w:rPr>
                <w:rFonts w:hint="eastAsia" w:ascii="宋体" w:hAnsi="宋体" w:eastAsia="宋体" w:cs="宋体"/>
                <w:b/>
                <w:bCs/>
                <w:color w:val="000000"/>
                <w:spacing w:val="0"/>
                <w:kern w:val="0"/>
                <w:sz w:val="22"/>
                <w:szCs w:val="22"/>
                <w:lang w:val="en-US" w:eastAsia="zh-CN" w:bidi="ar"/>
              </w:rPr>
              <w:t>现状年</w:t>
            </w:r>
          </w:p>
          <w:p w14:paraId="3BA54C41">
            <w:pPr>
              <w:pStyle w:val="5"/>
              <w:keepNext w:val="0"/>
              <w:keepLines w:val="0"/>
              <w:widowControl/>
              <w:suppressLineNumbers w:val="0"/>
              <w:spacing w:before="0" w:beforeAutospacing="1" w:after="0" w:afterAutospacing="1"/>
              <w:ind w:left="0" w:right="0" w:firstLine="0"/>
              <w:jc w:val="center"/>
              <w:textAlignment w:val="center"/>
              <w:rPr>
                <w:rFonts w:hint="default" w:ascii="Calibri" w:hAnsi="Calibri" w:eastAsia="宋体" w:cs="Times New Roman"/>
                <w:b/>
                <w:bCs/>
                <w:kern w:val="0"/>
                <w:sz w:val="24"/>
                <w:szCs w:val="24"/>
              </w:rPr>
            </w:pPr>
            <w:r>
              <w:rPr>
                <w:rFonts w:hint="default" w:ascii="Times New Roman" w:hAnsi="Times New Roman" w:eastAsia="宋体" w:cs="Times New Roman"/>
                <w:b/>
                <w:bCs/>
                <w:color w:val="000000"/>
                <w:spacing w:val="0"/>
                <w:kern w:val="0"/>
                <w:sz w:val="22"/>
                <w:szCs w:val="22"/>
                <w:lang w:val="en-US" w:eastAsia="zh-CN" w:bidi="ar"/>
              </w:rPr>
              <w:t xml:space="preserve">(2025 </w:t>
            </w:r>
            <w:r>
              <w:rPr>
                <w:rFonts w:hint="eastAsia" w:ascii="宋体" w:hAnsi="宋体" w:eastAsia="宋体" w:cs="宋体"/>
                <w:b/>
                <w:bCs/>
                <w:color w:val="000000"/>
                <w:spacing w:val="0"/>
                <w:kern w:val="0"/>
                <w:sz w:val="22"/>
                <w:szCs w:val="22"/>
                <w:lang w:val="en-US" w:eastAsia="zh-CN" w:bidi="ar"/>
              </w:rPr>
              <w:t>年</w:t>
            </w:r>
            <w:r>
              <w:rPr>
                <w:rFonts w:hint="default" w:ascii="Times New Roman" w:hAnsi="Times New Roman" w:eastAsia="宋体" w:cs="Times New Roman"/>
                <w:b/>
                <w:bCs/>
                <w:color w:val="000000"/>
                <w:spacing w:val="0"/>
                <w:kern w:val="0"/>
                <w:sz w:val="22"/>
                <w:szCs w:val="22"/>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754BCB26">
            <w:pPr>
              <w:pStyle w:val="5"/>
              <w:keepNext w:val="0"/>
              <w:keepLines w:val="0"/>
              <w:widowControl/>
              <w:suppressLineNumbers w:val="0"/>
              <w:spacing w:before="0" w:beforeAutospacing="1" w:after="0" w:afterAutospacing="1"/>
              <w:ind w:left="0" w:right="0" w:firstLine="0"/>
              <w:jc w:val="center"/>
              <w:textAlignment w:val="center"/>
              <w:rPr>
                <w:rFonts w:hint="default" w:ascii="Calibri" w:hAnsi="Calibri" w:eastAsia="宋体" w:cs="Times New Roman"/>
                <w:b/>
                <w:bCs/>
                <w:kern w:val="0"/>
                <w:sz w:val="24"/>
                <w:szCs w:val="24"/>
              </w:rPr>
            </w:pPr>
            <w:r>
              <w:rPr>
                <w:rFonts w:hint="eastAsia" w:ascii="宋体" w:hAnsi="宋体" w:eastAsia="宋体" w:cs="宋体"/>
                <w:b/>
                <w:bCs/>
                <w:color w:val="000000"/>
                <w:spacing w:val="0"/>
                <w:kern w:val="0"/>
                <w:sz w:val="22"/>
                <w:szCs w:val="22"/>
                <w:lang w:val="en-US" w:eastAsia="zh-CN" w:bidi="ar"/>
              </w:rPr>
              <w:t>规划年</w:t>
            </w:r>
          </w:p>
          <w:p w14:paraId="0F6DDBE0">
            <w:pPr>
              <w:pStyle w:val="5"/>
              <w:keepNext w:val="0"/>
              <w:keepLines w:val="0"/>
              <w:widowControl/>
              <w:suppressLineNumbers w:val="0"/>
              <w:spacing w:before="0" w:beforeAutospacing="1" w:after="0" w:afterAutospacing="1"/>
              <w:ind w:left="0" w:right="0" w:firstLine="0"/>
              <w:jc w:val="center"/>
              <w:textAlignment w:val="center"/>
              <w:rPr>
                <w:rFonts w:hint="default" w:ascii="Calibri" w:hAnsi="Calibri" w:eastAsia="宋体" w:cs="Times New Roman"/>
                <w:b/>
                <w:bCs/>
                <w:kern w:val="0"/>
                <w:sz w:val="24"/>
                <w:szCs w:val="24"/>
              </w:rPr>
            </w:pPr>
            <w:r>
              <w:rPr>
                <w:rFonts w:hint="default" w:ascii="Times New Roman" w:hAnsi="Times New Roman" w:eastAsia="宋体" w:cs="Times New Roman"/>
                <w:b/>
                <w:bCs/>
                <w:color w:val="000000"/>
                <w:spacing w:val="0"/>
                <w:kern w:val="0"/>
                <w:sz w:val="22"/>
                <w:szCs w:val="22"/>
                <w:lang w:val="en-US" w:eastAsia="zh-CN" w:bidi="ar"/>
              </w:rPr>
              <w:t xml:space="preserve">(2030 </w:t>
            </w:r>
            <w:r>
              <w:rPr>
                <w:rFonts w:hint="eastAsia" w:ascii="宋体" w:hAnsi="宋体" w:eastAsia="宋体" w:cs="宋体"/>
                <w:b/>
                <w:bCs/>
                <w:color w:val="000000"/>
                <w:spacing w:val="0"/>
                <w:kern w:val="0"/>
                <w:sz w:val="22"/>
                <w:szCs w:val="22"/>
                <w:lang w:val="en-US" w:eastAsia="zh-CN" w:bidi="ar"/>
              </w:rPr>
              <w:t>年</w:t>
            </w:r>
            <w:r>
              <w:rPr>
                <w:rFonts w:hint="default" w:ascii="Times New Roman" w:hAnsi="Times New Roman" w:eastAsia="宋体" w:cs="Times New Roman"/>
                <w:b/>
                <w:bCs/>
                <w:color w:val="000000"/>
                <w:spacing w:val="0"/>
                <w:kern w:val="0"/>
                <w:sz w:val="22"/>
                <w:szCs w:val="22"/>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22D7A7FF">
            <w:pPr>
              <w:pStyle w:val="5"/>
              <w:keepNext w:val="0"/>
              <w:keepLines w:val="0"/>
              <w:widowControl/>
              <w:suppressLineNumbers w:val="0"/>
              <w:spacing w:before="0" w:beforeAutospacing="1" w:after="0" w:afterAutospacing="1"/>
              <w:ind w:left="0" w:right="0" w:firstLine="0"/>
              <w:jc w:val="center"/>
              <w:textAlignment w:val="center"/>
              <w:rPr>
                <w:rFonts w:hint="default" w:ascii="Calibri" w:hAnsi="Calibri" w:eastAsia="宋体" w:cs="Times New Roman"/>
                <w:b/>
                <w:bCs/>
                <w:kern w:val="0"/>
                <w:sz w:val="24"/>
                <w:szCs w:val="24"/>
              </w:rPr>
            </w:pPr>
            <w:r>
              <w:rPr>
                <w:rFonts w:hint="eastAsia" w:ascii="宋体" w:hAnsi="宋体" w:eastAsia="宋体" w:cs="宋体"/>
                <w:b/>
                <w:bCs/>
                <w:color w:val="000000"/>
                <w:spacing w:val="0"/>
                <w:kern w:val="0"/>
                <w:sz w:val="22"/>
                <w:szCs w:val="22"/>
                <w:lang w:val="en-US" w:eastAsia="zh-CN" w:bidi="ar"/>
              </w:rPr>
              <w:t>指标属性</w:t>
            </w:r>
          </w:p>
        </w:tc>
      </w:tr>
      <w:tr w14:paraId="784AA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C671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1</w:t>
            </w: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39E99FA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left"/>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江海堤防达标率</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318CC38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3ACE0CB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default" w:ascii="方正仿宋_GB2312" w:hAnsi="方正仿宋_GB2312" w:eastAsia="方正仿宋_GB2312" w:cs="方正仿宋_GB2312"/>
                <w:kern w:val="0"/>
                <w:sz w:val="28"/>
                <w:szCs w:val="28"/>
                <w:lang w:val="en-US"/>
              </w:rPr>
            </w:pPr>
            <w:r>
              <w:rPr>
                <w:rFonts w:hint="eastAsia" w:ascii="方正仿宋_GB2312" w:hAnsi="方正仿宋_GB2312" w:eastAsia="方正仿宋_GB2312" w:cs="方正仿宋_GB2312"/>
                <w:color w:val="000000"/>
                <w:spacing w:val="0"/>
                <w:kern w:val="0"/>
                <w:sz w:val="28"/>
                <w:szCs w:val="28"/>
                <w:lang w:val="en-US" w:eastAsia="zh-CN" w:bidi="ar"/>
              </w:rPr>
              <w:t>90</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50444E8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default" w:ascii="方正仿宋_GB2312" w:hAnsi="方正仿宋_GB2312" w:eastAsia="方正仿宋_GB2312" w:cs="方正仿宋_GB2312"/>
                <w:kern w:val="0"/>
                <w:sz w:val="28"/>
                <w:szCs w:val="28"/>
                <w:lang w:val="en-US"/>
              </w:rPr>
            </w:pPr>
            <w:r>
              <w:rPr>
                <w:rFonts w:hint="eastAsia" w:ascii="方正仿宋_GB2312" w:hAnsi="方正仿宋_GB2312" w:eastAsia="方正仿宋_GB2312" w:cs="方正仿宋_GB2312"/>
                <w:color w:val="000000"/>
                <w:spacing w:val="0"/>
                <w:kern w:val="0"/>
                <w:sz w:val="28"/>
                <w:szCs w:val="28"/>
                <w:lang w:val="en-US" w:eastAsia="zh-CN" w:bidi="ar"/>
              </w:rPr>
              <w:t>90</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0203EE8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预期性</w:t>
            </w:r>
          </w:p>
        </w:tc>
      </w:tr>
      <w:tr w14:paraId="3F668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71" w:hRule="atLeast"/>
        </w:trPr>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696B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center"/>
              <w:rPr>
                <w:rFonts w:hint="eastAsia" w:ascii="方正仿宋_GB2312" w:hAnsi="方正仿宋_GB2312" w:eastAsia="方正仿宋_GB2312" w:cs="方正仿宋_GB2312"/>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2</w:t>
            </w: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79C7472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left"/>
              <w:textAlignment w:val="center"/>
              <w:rPr>
                <w:rFonts w:hint="eastAsia" w:ascii="方正仿宋_GB2312" w:hAnsi="方正仿宋_GB2312" w:eastAsia="方正仿宋_GB2312" w:cs="方正仿宋_GB2312"/>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县级以上城区防洪达标率</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290E425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center"/>
              <w:rPr>
                <w:rFonts w:hint="eastAsia" w:ascii="方正仿宋_GB2312" w:hAnsi="方正仿宋_GB2312" w:eastAsia="方正仿宋_GB2312" w:cs="方正仿宋_GB2312"/>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74E118F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center"/>
              <w:rPr>
                <w:rFonts w:hint="eastAsia" w:ascii="方正仿宋_GB2312" w:hAnsi="方正仿宋_GB2312" w:eastAsia="方正仿宋_GB2312" w:cs="方正仿宋_GB2312"/>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259D745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110" w:firstLineChars="0"/>
              <w:jc w:val="center"/>
              <w:textAlignment w:val="center"/>
              <w:rPr>
                <w:rFonts w:hint="eastAsia" w:ascii="方正仿宋_GB2312" w:hAnsi="方正仿宋_GB2312" w:eastAsia="方正仿宋_GB2312" w:cs="方正仿宋_GB2312"/>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90</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0360462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leftChars="0" w:right="0" w:rightChars="0" w:firstLine="0" w:firstLineChars="0"/>
              <w:jc w:val="center"/>
              <w:textAlignment w:val="center"/>
              <w:rPr>
                <w:rFonts w:hint="eastAsia" w:ascii="方正仿宋_GB2312" w:hAnsi="方正仿宋_GB2312" w:eastAsia="方正仿宋_GB2312" w:cs="方正仿宋_GB2312"/>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预期性</w:t>
            </w:r>
          </w:p>
        </w:tc>
      </w:tr>
      <w:tr w14:paraId="2F1AA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71" w:hRule="atLeast"/>
        </w:trPr>
        <w:tc>
          <w:tcPr>
            <w:tcW w:w="577" w:type="dxa"/>
            <w:vMerge w:val="restart"/>
            <w:tcBorders>
              <w:top w:val="single" w:color="000000" w:sz="4" w:space="0"/>
              <w:left w:val="single" w:color="000000" w:sz="4" w:space="0"/>
              <w:right w:val="single" w:color="000000" w:sz="4" w:space="0"/>
            </w:tcBorders>
            <w:shd w:val="clear" w:color="auto" w:fill="FFFFFF"/>
            <w:vAlign w:val="center"/>
          </w:tcPr>
          <w:p w14:paraId="2334F64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default" w:ascii="方正仿宋_GB2312" w:hAnsi="方正仿宋_GB2312" w:eastAsia="方正仿宋_GB2312" w:cs="方正仿宋_GB2312"/>
                <w:color w:val="000000"/>
                <w:spacing w:val="0"/>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3</w:t>
            </w: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49A79CF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left"/>
              <w:textAlignment w:val="center"/>
              <w:rPr>
                <w:rFonts w:hint="eastAsia" w:ascii="方正仿宋_GB2312" w:hAnsi="方正仿宋_GB2312" w:eastAsia="方正仿宋_GB2312" w:cs="方正仿宋_GB2312"/>
                <w:color w:val="000000"/>
                <w:spacing w:val="0"/>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用水总量</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01A352B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color w:val="000000"/>
                <w:spacing w:val="0"/>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亿 m³</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0AE2C15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color w:val="000000"/>
                <w:spacing w:val="0"/>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4B79B67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110"/>
              <w:jc w:val="center"/>
              <w:textAlignment w:val="center"/>
              <w:rPr>
                <w:rFonts w:hint="eastAsia" w:ascii="方正仿宋_GB2312" w:hAnsi="方正仿宋_GB2312" w:eastAsia="方正仿宋_GB2312" w:cs="方正仿宋_GB2312"/>
                <w:color w:val="000000"/>
                <w:spacing w:val="0"/>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[按上级下达要求]</w:t>
            </w:r>
          </w:p>
        </w:tc>
        <w:tc>
          <w:tcPr>
            <w:tcW w:w="1128" w:type="dxa"/>
            <w:vMerge w:val="restart"/>
            <w:tcBorders>
              <w:top w:val="single" w:color="000000" w:sz="4" w:space="0"/>
              <w:left w:val="nil"/>
              <w:right w:val="single" w:color="000000" w:sz="4" w:space="0"/>
            </w:tcBorders>
            <w:shd w:val="clear" w:color="auto" w:fill="FFFFFF"/>
            <w:vAlign w:val="center"/>
          </w:tcPr>
          <w:p w14:paraId="5B13A8E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color w:val="000000"/>
                <w:spacing w:val="0"/>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约束性</w:t>
            </w:r>
          </w:p>
        </w:tc>
      </w:tr>
      <w:tr w14:paraId="60C59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71" w:hRule="atLeast"/>
        </w:trPr>
        <w:tc>
          <w:tcPr>
            <w:tcW w:w="577" w:type="dxa"/>
            <w:vMerge w:val="continue"/>
            <w:tcBorders>
              <w:left w:val="single" w:color="000000" w:sz="4" w:space="0"/>
              <w:bottom w:val="single" w:color="000000" w:sz="4" w:space="0"/>
              <w:right w:val="single" w:color="000000" w:sz="4" w:space="0"/>
            </w:tcBorders>
            <w:shd w:val="clear" w:color="auto" w:fill="FFFFFF"/>
            <w:vAlign w:val="center"/>
          </w:tcPr>
          <w:p w14:paraId="1B67583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17CB0A6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left"/>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其中：地下水取水总量</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3B67BCE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亿 m³</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0F9EF5E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44367C5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11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[按上级下达要求]</w:t>
            </w:r>
          </w:p>
        </w:tc>
        <w:tc>
          <w:tcPr>
            <w:tcW w:w="1128" w:type="dxa"/>
            <w:vMerge w:val="continue"/>
            <w:tcBorders>
              <w:left w:val="nil"/>
              <w:bottom w:val="single" w:color="000000" w:sz="4" w:space="0"/>
              <w:right w:val="single" w:color="000000" w:sz="4" w:space="0"/>
            </w:tcBorders>
            <w:shd w:val="clear" w:color="auto" w:fill="FFFFFF"/>
            <w:vAlign w:val="center"/>
          </w:tcPr>
          <w:p w14:paraId="794559F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p>
        </w:tc>
      </w:tr>
      <w:tr w14:paraId="4AD95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1" w:hRule="atLeast"/>
        </w:trPr>
        <w:tc>
          <w:tcPr>
            <w:tcW w:w="577" w:type="dxa"/>
            <w:vMerge w:val="restart"/>
            <w:tcBorders>
              <w:top w:val="nil"/>
              <w:left w:val="single" w:color="000000" w:sz="4" w:space="0"/>
              <w:bottom w:val="single" w:color="000000" w:sz="4" w:space="0"/>
              <w:right w:val="single" w:color="000000" w:sz="4" w:space="0"/>
            </w:tcBorders>
            <w:shd w:val="clear" w:color="auto" w:fill="FFFFFF"/>
            <w:vAlign w:val="center"/>
          </w:tcPr>
          <w:p w14:paraId="5A3E144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4</w:t>
            </w: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7C2F917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left"/>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万元 GDP 用水量下降</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770AE0D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31C85A7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[按上级下达要求]</w:t>
            </w:r>
          </w:p>
        </w:tc>
        <w:tc>
          <w:tcPr>
            <w:tcW w:w="1128" w:type="dxa"/>
            <w:tcBorders>
              <w:top w:val="nil"/>
              <w:left w:val="nil"/>
              <w:bottom w:val="single" w:color="000000" w:sz="4" w:space="0"/>
              <w:right w:val="single" w:color="000000" w:sz="4" w:space="0"/>
            </w:tcBorders>
            <w:shd w:val="clear" w:color="auto" w:fill="FFFFFF"/>
            <w:vAlign w:val="center"/>
          </w:tcPr>
          <w:p w14:paraId="2CB6D57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11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[按上级下达要求]</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230A8E7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约束性</w:t>
            </w:r>
          </w:p>
        </w:tc>
      </w:tr>
      <w:tr w14:paraId="35A5C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577" w:type="dxa"/>
            <w:vMerge w:val="continue"/>
            <w:tcBorders>
              <w:top w:val="nil"/>
              <w:left w:val="single" w:color="000000" w:sz="4" w:space="0"/>
              <w:bottom w:val="single" w:color="000000" w:sz="4" w:space="0"/>
              <w:right w:val="single" w:color="000000" w:sz="4" w:space="0"/>
            </w:tcBorders>
            <w:shd w:val="clear" w:color="auto" w:fill="FFFFFF"/>
            <w:vAlign w:val="center"/>
          </w:tcPr>
          <w:p w14:paraId="0A2269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rPr>
                <w:rFonts w:hint="eastAsia" w:ascii="方正仿宋_GB2312" w:hAnsi="方正仿宋_GB2312" w:eastAsia="方正仿宋_GB2312" w:cs="方正仿宋_GB2312"/>
                <w:sz w:val="28"/>
                <w:szCs w:val="28"/>
              </w:rPr>
            </w:pP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618EA45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其中：万元工业增加值用水量下降</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1A9FD7E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6BBBE0E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[按上级下达要求]</w:t>
            </w:r>
          </w:p>
        </w:tc>
        <w:tc>
          <w:tcPr>
            <w:tcW w:w="1128" w:type="dxa"/>
            <w:tcBorders>
              <w:top w:val="nil"/>
              <w:left w:val="nil"/>
              <w:bottom w:val="single" w:color="000000" w:sz="4" w:space="0"/>
              <w:right w:val="single" w:color="000000" w:sz="4" w:space="0"/>
            </w:tcBorders>
            <w:shd w:val="clear" w:color="auto" w:fill="FFFFFF"/>
            <w:vAlign w:val="center"/>
          </w:tcPr>
          <w:p w14:paraId="09C748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[按上级下达要求]</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45A45CF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约束性</w:t>
            </w:r>
          </w:p>
        </w:tc>
      </w:tr>
      <w:tr w14:paraId="1C105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1" w:hRule="atLeast"/>
        </w:trPr>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734F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5</w:t>
            </w: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4F86112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left"/>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非常规水利用量</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509659C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亿 m</w:t>
            </w:r>
            <w:r>
              <w:rPr>
                <w:rFonts w:hint="eastAsia" w:ascii="方正仿宋_GB2312" w:hAnsi="方正仿宋_GB2312" w:eastAsia="方正仿宋_GB2312" w:cs="方正仿宋_GB2312"/>
                <w:color w:val="000000"/>
                <w:spacing w:val="0"/>
                <w:kern w:val="0"/>
                <w:sz w:val="28"/>
                <w:szCs w:val="28"/>
                <w:vertAlign w:val="superscript"/>
                <w:lang w:val="en-US" w:eastAsia="zh-CN" w:bidi="ar"/>
              </w:rPr>
              <w:t>³</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156F911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[按上级下达要求]</w:t>
            </w:r>
          </w:p>
        </w:tc>
        <w:tc>
          <w:tcPr>
            <w:tcW w:w="1128" w:type="dxa"/>
            <w:tcBorders>
              <w:top w:val="nil"/>
              <w:left w:val="nil"/>
              <w:bottom w:val="single" w:color="000000" w:sz="4" w:space="0"/>
              <w:right w:val="single" w:color="000000" w:sz="4" w:space="0"/>
            </w:tcBorders>
            <w:shd w:val="clear" w:color="auto" w:fill="FFFFFF"/>
            <w:vAlign w:val="center"/>
          </w:tcPr>
          <w:p w14:paraId="3A36AC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[按上级下达要求]</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5307662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约束性</w:t>
            </w:r>
          </w:p>
        </w:tc>
      </w:tr>
      <w:tr w14:paraId="6DE4A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73FF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6</w:t>
            </w: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39D7C41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left"/>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新增水库库容</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6F5785A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亿 m</w:t>
            </w:r>
            <w:r>
              <w:rPr>
                <w:rFonts w:hint="eastAsia" w:ascii="方正仿宋_GB2312" w:hAnsi="方正仿宋_GB2312" w:eastAsia="方正仿宋_GB2312" w:cs="方正仿宋_GB2312"/>
                <w:color w:val="000000"/>
                <w:spacing w:val="0"/>
                <w:kern w:val="0"/>
                <w:sz w:val="28"/>
                <w:szCs w:val="28"/>
                <w:vertAlign w:val="superscript"/>
                <w:lang w:val="en-US" w:eastAsia="zh-CN" w:bidi="ar"/>
              </w:rPr>
              <w:t>³</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3BE27C3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0</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306CE59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0</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048264B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预期性</w:t>
            </w:r>
          </w:p>
        </w:tc>
      </w:tr>
      <w:tr w14:paraId="3611F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1F69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7</w:t>
            </w: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61ED4A7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left"/>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新增水利工程年供水能力</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5E61BDC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亿 m</w:t>
            </w:r>
            <w:r>
              <w:rPr>
                <w:rFonts w:hint="eastAsia" w:ascii="方正仿宋_GB2312" w:hAnsi="方正仿宋_GB2312" w:eastAsia="方正仿宋_GB2312" w:cs="方正仿宋_GB2312"/>
                <w:color w:val="000000"/>
                <w:spacing w:val="0"/>
                <w:kern w:val="0"/>
                <w:sz w:val="28"/>
                <w:szCs w:val="28"/>
                <w:vertAlign w:val="superscript"/>
                <w:lang w:val="en-US" w:eastAsia="zh-CN" w:bidi="ar"/>
              </w:rPr>
              <w:t>³</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2E8246E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3FAC15F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0.5</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3A40CF3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预期性</w:t>
            </w:r>
          </w:p>
        </w:tc>
      </w:tr>
      <w:tr w14:paraId="30129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1" w:hRule="atLeast"/>
        </w:trPr>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B143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8</w:t>
            </w: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28FBF3E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left"/>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农田灌溉水有效利用系数</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79B445A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12BA392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val="en-US" w:eastAsia="zh-CN" w:bidi="ar"/>
              </w:rPr>
              <w:t>0.551</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24EB1E9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[按上级下达要求]</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3C28AAB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预期性</w:t>
            </w:r>
          </w:p>
        </w:tc>
      </w:tr>
      <w:tr w14:paraId="65E55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D093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9</w:t>
            </w: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6C6D858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left"/>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县级以上城区防洪达标率</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5123889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5015CD6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3AF8227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[按上级下达要求]</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5B7D8F0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预期性</w:t>
            </w:r>
          </w:p>
        </w:tc>
      </w:tr>
      <w:tr w14:paraId="30F3A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1" w:hRule="atLeast"/>
        </w:trPr>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F045C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default" w:ascii="方正仿宋_GB2312" w:hAnsi="方正仿宋_GB2312" w:eastAsia="方正仿宋_GB2312" w:cs="方正仿宋_GB2312"/>
                <w:kern w:val="0"/>
                <w:sz w:val="28"/>
                <w:szCs w:val="28"/>
                <w:lang w:val="en-US"/>
              </w:rPr>
            </w:pPr>
            <w:r>
              <w:rPr>
                <w:rFonts w:hint="eastAsia" w:ascii="方正仿宋_GB2312" w:hAnsi="方正仿宋_GB2312" w:eastAsia="方正仿宋_GB2312" w:cs="方正仿宋_GB2312"/>
                <w:color w:val="000000"/>
                <w:spacing w:val="0"/>
                <w:kern w:val="0"/>
                <w:sz w:val="28"/>
                <w:szCs w:val="28"/>
                <w:lang w:val="en-US" w:eastAsia="zh-CN" w:bidi="ar"/>
              </w:rPr>
              <w:t>10</w:t>
            </w: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00E8BFC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left"/>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规模化供水工程覆盖农村人口比例</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4272EC7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1DFE160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95</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6334216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95</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6FBBB52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预期性</w:t>
            </w:r>
          </w:p>
        </w:tc>
      </w:tr>
      <w:tr w14:paraId="4E898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577" w:type="dxa"/>
            <w:vMerge w:val="restart"/>
            <w:tcBorders>
              <w:top w:val="nil"/>
              <w:left w:val="single" w:color="000000" w:sz="4" w:space="0"/>
              <w:bottom w:val="single" w:color="000000" w:sz="4" w:space="0"/>
              <w:right w:val="single" w:color="000000" w:sz="4" w:space="0"/>
            </w:tcBorders>
            <w:shd w:val="clear" w:color="auto" w:fill="FFFFFF"/>
            <w:vAlign w:val="center"/>
          </w:tcPr>
          <w:p w14:paraId="6311676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11</w:t>
            </w: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4B5B6F1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left"/>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水土保持率</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2119062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1E7A6F8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highlight w:val="none"/>
              </w:rPr>
            </w:pPr>
            <w:r>
              <w:rPr>
                <w:rFonts w:hint="eastAsia" w:ascii="方正仿宋_GB2312" w:hAnsi="方正仿宋_GB2312" w:eastAsia="方正仿宋_GB2312" w:cs="方正仿宋_GB2312"/>
                <w:color w:val="000000"/>
                <w:spacing w:val="0"/>
                <w:kern w:val="0"/>
                <w:sz w:val="28"/>
                <w:szCs w:val="28"/>
                <w:highlight w:val="none"/>
                <w:lang w:val="en-US" w:eastAsia="zh-CN" w:bidi="ar"/>
              </w:rPr>
              <w:t>[按上级下达要求]</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7B3F3AC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highlight w:val="none"/>
              </w:rPr>
            </w:pPr>
            <w:r>
              <w:rPr>
                <w:rFonts w:hint="eastAsia" w:ascii="方正仿宋_GB2312" w:hAnsi="方正仿宋_GB2312" w:eastAsia="方正仿宋_GB2312" w:cs="方正仿宋_GB2312"/>
                <w:color w:val="000000"/>
                <w:spacing w:val="0"/>
                <w:kern w:val="0"/>
                <w:sz w:val="28"/>
                <w:szCs w:val="28"/>
                <w:highlight w:val="none"/>
                <w:lang w:val="en-US" w:eastAsia="zh-CN" w:bidi="ar"/>
              </w:rPr>
              <w:t>[按上级下达要求]</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2D52D26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预期性</w:t>
            </w:r>
          </w:p>
        </w:tc>
      </w:tr>
      <w:tr w14:paraId="2C209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7" w:hRule="atLeast"/>
        </w:trPr>
        <w:tc>
          <w:tcPr>
            <w:tcW w:w="577" w:type="dxa"/>
            <w:vMerge w:val="continue"/>
            <w:tcBorders>
              <w:top w:val="nil"/>
              <w:left w:val="single" w:color="000000" w:sz="4" w:space="0"/>
              <w:bottom w:val="single" w:color="000000" w:sz="4" w:space="0"/>
              <w:right w:val="single" w:color="000000" w:sz="4" w:space="0"/>
            </w:tcBorders>
            <w:shd w:val="clear" w:color="auto" w:fill="FFFFFF"/>
            <w:vAlign w:val="center"/>
          </w:tcPr>
          <w:p w14:paraId="539B0D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rPr>
                <w:rFonts w:hint="eastAsia" w:ascii="方正仿宋_GB2312" w:hAnsi="方正仿宋_GB2312" w:eastAsia="方正仿宋_GB2312" w:cs="方正仿宋_GB2312"/>
                <w:sz w:val="28"/>
                <w:szCs w:val="28"/>
              </w:rPr>
            </w:pP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5EF32FF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其中：新增水土流失治理面积</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7EAF422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position w:val="-1"/>
                <w:sz w:val="28"/>
                <w:szCs w:val="28"/>
                <w:lang w:val="en-US" w:eastAsia="zh-CN" w:bidi="ar"/>
              </w:rPr>
              <w:t>km</w:t>
            </w:r>
            <w:r>
              <w:rPr>
                <w:rFonts w:hint="eastAsia" w:ascii="方正仿宋_GB2312" w:hAnsi="方正仿宋_GB2312" w:eastAsia="方正仿宋_GB2312" w:cs="方正仿宋_GB2312"/>
                <w:color w:val="000000"/>
                <w:spacing w:val="0"/>
                <w:kern w:val="0"/>
                <w:sz w:val="28"/>
                <w:szCs w:val="28"/>
                <w:vertAlign w:val="superscript"/>
                <w:lang w:val="en-US" w:eastAsia="zh-CN" w:bidi="ar"/>
              </w:rPr>
              <w:t>2</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374F296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val="en-US" w:eastAsia="zh-CN" w:bidi="ar"/>
              </w:rPr>
              <w:t>[按上级下达要求]</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13E49A3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11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[按上级下达要求]</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6B7A5EC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预期性</w:t>
            </w:r>
          </w:p>
        </w:tc>
      </w:tr>
      <w:tr w14:paraId="71007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69D8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12</w:t>
            </w: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1E9B4C8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left"/>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重点河湖基本生态流量达标率</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3273366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7671E4D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100</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76D9962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[按上级下达要求]</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377AD31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预期性</w:t>
            </w:r>
          </w:p>
        </w:tc>
      </w:tr>
      <w:tr w14:paraId="0BAEE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71" w:hRule="atLeast"/>
        </w:trPr>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884D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13</w:t>
            </w: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059E7FF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left"/>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高质量建设碧道长度</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73404A0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km</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6D4B1BF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65.4</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732F0CA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11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80</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18A9FDA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预期性</w:t>
            </w:r>
          </w:p>
        </w:tc>
      </w:tr>
      <w:tr w14:paraId="42C3D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4" w:hRule="atLeast"/>
        </w:trPr>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F090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14</w:t>
            </w: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00C873A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left"/>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重大水利工程数字化率</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262E9D5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4A618C3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25CFA42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default" w:ascii="方正仿宋_GB2312" w:hAnsi="方正仿宋_GB2312" w:eastAsia="方正仿宋_GB2312" w:cs="方正仿宋_GB2312"/>
                <w:kern w:val="0"/>
                <w:sz w:val="28"/>
                <w:szCs w:val="28"/>
                <w:lang w:val="en-US"/>
              </w:rPr>
            </w:pPr>
            <w:r>
              <w:rPr>
                <w:rFonts w:hint="eastAsia" w:ascii="方正仿宋_GB2312" w:hAnsi="方正仿宋_GB2312" w:eastAsia="方正仿宋_GB2312" w:cs="方正仿宋_GB2312"/>
                <w:color w:val="000000"/>
                <w:spacing w:val="0"/>
                <w:kern w:val="0"/>
                <w:sz w:val="28"/>
                <w:szCs w:val="28"/>
                <w:lang w:val="en-US" w:eastAsia="zh-CN" w:bidi="ar"/>
              </w:rPr>
              <w:t>75</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5146A05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预期性</w:t>
            </w:r>
          </w:p>
        </w:tc>
      </w:tr>
      <w:tr w14:paraId="38B73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DEF0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15</w:t>
            </w: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6F981A2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left"/>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河流水文监测控制率</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4E723454">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65F467B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100</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7C6012F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100</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503582A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color w:val="000000"/>
                <w:spacing w:val="0"/>
                <w:kern w:val="0"/>
                <w:sz w:val="28"/>
                <w:szCs w:val="28"/>
                <w:lang w:val="en-US" w:eastAsia="zh-CN" w:bidi="ar"/>
              </w:rPr>
              <w:t>预期性</w:t>
            </w:r>
          </w:p>
        </w:tc>
      </w:tr>
      <w:tr w14:paraId="1E41A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B6D4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default" w:ascii="方正仿宋_GB2312" w:hAnsi="方正仿宋_GB2312" w:eastAsia="方正仿宋_GB2312" w:cs="方正仿宋_GB2312"/>
                <w:color w:val="000000"/>
                <w:spacing w:val="0"/>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16</w:t>
            </w: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7F8B478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left"/>
              <w:textAlignment w:val="center"/>
              <w:rPr>
                <w:rFonts w:hint="eastAsia" w:ascii="方正仿宋_GB2312" w:hAnsi="方正仿宋_GB2312" w:eastAsia="方正仿宋_GB2312" w:cs="方正仿宋_GB2312"/>
                <w:color w:val="000000"/>
                <w:spacing w:val="0"/>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大中型水闸除险加固处置率</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34DD10B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color w:val="000000"/>
                <w:spacing w:val="0"/>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2616159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color w:val="000000"/>
                <w:spacing w:val="0"/>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57FD62C9">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color w:val="000000"/>
                <w:spacing w:val="0"/>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100</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22D3D9A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color w:val="000000"/>
                <w:spacing w:val="0"/>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预期性</w:t>
            </w:r>
          </w:p>
        </w:tc>
      </w:tr>
      <w:tr w14:paraId="7B386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03" w:hRule="atLeast"/>
        </w:trPr>
        <w:tc>
          <w:tcPr>
            <w:tcW w:w="5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3ECA3">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default" w:ascii="方正仿宋_GB2312" w:hAnsi="方正仿宋_GB2312" w:eastAsia="方正仿宋_GB2312" w:cs="方正仿宋_GB2312"/>
                <w:color w:val="000000"/>
                <w:spacing w:val="0"/>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17</w:t>
            </w:r>
          </w:p>
        </w:tc>
        <w:tc>
          <w:tcPr>
            <w:tcW w:w="3842" w:type="dxa"/>
            <w:tcBorders>
              <w:top w:val="single" w:color="000000" w:sz="4" w:space="0"/>
              <w:left w:val="nil"/>
              <w:bottom w:val="single" w:color="000000" w:sz="4" w:space="0"/>
              <w:right w:val="single" w:color="000000" w:sz="4" w:space="0"/>
            </w:tcBorders>
            <w:shd w:val="clear" w:color="auto" w:fill="FFFFFF"/>
            <w:vAlign w:val="center"/>
          </w:tcPr>
          <w:p w14:paraId="2CF02B0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left"/>
              <w:textAlignment w:val="center"/>
              <w:rPr>
                <w:rFonts w:hint="eastAsia" w:ascii="方正仿宋_GB2312" w:hAnsi="方正仿宋_GB2312" w:eastAsia="方正仿宋_GB2312" w:cs="方正仿宋_GB2312"/>
                <w:color w:val="000000"/>
                <w:spacing w:val="0"/>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水经济产业规模占 GDP 比例</w:t>
            </w:r>
          </w:p>
        </w:tc>
        <w:tc>
          <w:tcPr>
            <w:tcW w:w="917" w:type="dxa"/>
            <w:tcBorders>
              <w:top w:val="single" w:color="000000" w:sz="4" w:space="0"/>
              <w:left w:val="nil"/>
              <w:bottom w:val="single" w:color="000000" w:sz="4" w:space="0"/>
              <w:right w:val="single" w:color="000000" w:sz="4" w:space="0"/>
            </w:tcBorders>
            <w:shd w:val="clear" w:color="auto" w:fill="FFFFFF"/>
            <w:vAlign w:val="center"/>
          </w:tcPr>
          <w:p w14:paraId="575CD2FC">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color w:val="000000"/>
                <w:spacing w:val="0"/>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059A04AB">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color w:val="000000"/>
                <w:spacing w:val="0"/>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5DC8D201">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color w:val="000000"/>
                <w:spacing w:val="0"/>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[按上级下达要求]</w:t>
            </w:r>
          </w:p>
        </w:tc>
        <w:tc>
          <w:tcPr>
            <w:tcW w:w="1128" w:type="dxa"/>
            <w:tcBorders>
              <w:top w:val="single" w:color="000000" w:sz="4" w:space="0"/>
              <w:left w:val="nil"/>
              <w:bottom w:val="single" w:color="000000" w:sz="4" w:space="0"/>
              <w:right w:val="single" w:color="000000" w:sz="4" w:space="0"/>
            </w:tcBorders>
            <w:shd w:val="clear" w:color="auto" w:fill="FFFFFF"/>
            <w:vAlign w:val="center"/>
          </w:tcPr>
          <w:p w14:paraId="1DF02D5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firstLine="0"/>
              <w:jc w:val="center"/>
              <w:textAlignment w:val="center"/>
              <w:rPr>
                <w:rFonts w:hint="eastAsia" w:ascii="方正仿宋_GB2312" w:hAnsi="方正仿宋_GB2312" w:eastAsia="方正仿宋_GB2312" w:cs="方正仿宋_GB2312"/>
                <w:color w:val="000000"/>
                <w:spacing w:val="0"/>
                <w:kern w:val="0"/>
                <w:sz w:val="28"/>
                <w:szCs w:val="28"/>
                <w:lang w:val="en-US" w:eastAsia="zh-CN" w:bidi="ar"/>
              </w:rPr>
            </w:pPr>
            <w:r>
              <w:rPr>
                <w:rFonts w:hint="eastAsia" w:ascii="方正仿宋_GB2312" w:hAnsi="方正仿宋_GB2312" w:eastAsia="方正仿宋_GB2312" w:cs="方正仿宋_GB2312"/>
                <w:color w:val="000000"/>
                <w:spacing w:val="0"/>
                <w:kern w:val="0"/>
                <w:sz w:val="28"/>
                <w:szCs w:val="28"/>
                <w:lang w:val="en-US" w:eastAsia="zh-CN" w:bidi="ar"/>
              </w:rPr>
              <w:t>预期性</w:t>
            </w:r>
          </w:p>
        </w:tc>
      </w:tr>
    </w:tbl>
    <w:p w14:paraId="3E185B4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p>
    <w:p w14:paraId="2050F6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w:t>
      </w:r>
      <w:r>
        <w:rPr>
          <w:rFonts w:hint="eastAsia" w:ascii="黑体" w:hAnsi="黑体" w:eastAsia="黑体" w:cs="黑体"/>
          <w:sz w:val="32"/>
          <w:szCs w:val="32"/>
        </w:rPr>
        <w:t>、</w:t>
      </w:r>
      <w:r>
        <w:rPr>
          <w:rFonts w:hint="eastAsia" w:ascii="黑体" w:hAnsi="黑体" w:eastAsia="黑体" w:cs="黑体"/>
          <w:sz w:val="32"/>
          <w:szCs w:val="32"/>
          <w:lang w:eastAsia="zh-CN"/>
        </w:rPr>
        <w:t>主要任务</w:t>
      </w:r>
    </w:p>
    <w:p w14:paraId="0D3A340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黑体" w:hAnsi="黑体" w:eastAsia="黑体" w:cs="黑体"/>
          <w:sz w:val="32"/>
          <w:szCs w:val="32"/>
        </w:rPr>
      </w:pPr>
      <w:r>
        <w:rPr>
          <w:rFonts w:hint="eastAsia" w:ascii="楷体_GB2312" w:hAnsi="楷体_GB2312" w:eastAsia="楷体_GB2312" w:cs="楷体_GB2312"/>
          <w:b/>
          <w:bCs/>
          <w:sz w:val="32"/>
          <w:szCs w:val="32"/>
        </w:rPr>
        <w:t>（一）</w:t>
      </w:r>
      <w:r>
        <w:rPr>
          <w:rFonts w:hint="eastAsia" w:ascii="黑体" w:hAnsi="黑体" w:eastAsia="黑体" w:cs="黑体"/>
          <w:sz w:val="32"/>
          <w:szCs w:val="32"/>
        </w:rPr>
        <w:t>推进水旱灾害防御体系和能力现代化</w:t>
      </w:r>
    </w:p>
    <w:p w14:paraId="1323A49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lang w:eastAsia="zh-CN"/>
        </w:rPr>
      </w:pPr>
      <w:r>
        <w:rPr>
          <w:rFonts w:hint="eastAsia" w:ascii="楷体_GB2312" w:hAnsi="楷体_GB2312" w:eastAsia="楷体_GB2312" w:cs="楷体_GB2312"/>
          <w:b/>
          <w:bCs/>
          <w:sz w:val="32"/>
          <w:szCs w:val="32"/>
        </w:rPr>
        <w:t>1.完善防洪涝（潮）工程体系</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lang w:eastAsia="zh-CN"/>
        </w:rPr>
        <w:t>系统推进江门市西江潭江流域跨界重点支流综合治理工程（二期）台山项目区，并对大隆洞河、新昌水、白沙水、川中河等4条河流实施治理。以沿海堤防达标提标建设为重点，着力提升抵御风暴潮等海洋灾害的能力，重点推进家寮海堤、浪湾海堤、广海湾海堤等海堤加固工程。持续实施病险水库与水闸除险加固，从根本上消除工程安全隐患。实施老旧水库改造提升、水步镇长坑水库及台山市72个重点山塘除险加固工程，完成烽火角水闸、铜鼓水闸、茭勒水闸等3座水闸重建，对大隆迳北洞水闸、八孔水闸、挞石水闸、白沙水闸等4座水闸进行除险加固。有序推进端芬镇、广海镇、赤溪镇及斗山镇4个片区涝区治理工程，通过清淤疏浚排水渠系、新建及重建排水泵站及水闸、加固护岸等措施有效解决涝区排水问题。</w:t>
      </w:r>
    </w:p>
    <w:p w14:paraId="7213D16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2.</w:t>
      </w:r>
      <w:r>
        <w:rPr>
          <w:rFonts w:hint="eastAsia" w:ascii="楷体_GB2312" w:hAnsi="楷体_GB2312" w:eastAsia="楷体_GB2312" w:cs="楷体_GB2312"/>
          <w:b/>
          <w:bCs/>
          <w:sz w:val="32"/>
          <w:szCs w:val="32"/>
        </w:rPr>
        <w:t>加快构建现代化雨水情监测预报体系</w:t>
      </w:r>
      <w:r>
        <w:rPr>
          <w:rFonts w:hint="eastAsia" w:ascii="楷体_GB2312" w:hAnsi="楷体_GB2312" w:eastAsia="楷体_GB2312" w:cs="楷体_GB2312"/>
          <w:b/>
          <w:bCs/>
          <w:sz w:val="32"/>
          <w:szCs w:val="32"/>
          <w:lang w:val="en-US" w:eastAsia="zh-CN"/>
        </w:rPr>
        <w:t>。</w:t>
      </w:r>
      <w:r>
        <w:rPr>
          <w:rFonts w:hint="eastAsia" w:ascii="方正仿宋_GB2312" w:hAnsi="方正仿宋_GB2312" w:eastAsia="方正仿宋_GB2312" w:cs="方正仿宋_GB2312"/>
          <w:sz w:val="32"/>
          <w:szCs w:val="32"/>
        </w:rPr>
        <w:t>以流域为单元，构筑气象卫星和测雨雷达、雨量站、水文站组成的雨水情监测预报“三道防线”，优化水文站网布局。探索运用AI人工智能等先进技术，提升降雨预报数据与水文水动力模型耦合模拟效果，提高洪水预测精准度，拓宽预警覆盖面，精准靶向推送洪涝预警信息和应对措施，满足水灾害防御对水文监测项目、监测频次和数据报送时效的更高要求。</w:t>
      </w:r>
    </w:p>
    <w:p w14:paraId="7420C68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3.</w:t>
      </w:r>
      <w:r>
        <w:rPr>
          <w:rFonts w:hint="eastAsia" w:ascii="楷体_GB2312" w:hAnsi="楷体_GB2312" w:eastAsia="楷体_GB2312" w:cs="楷体_GB2312"/>
          <w:b/>
          <w:bCs/>
          <w:sz w:val="32"/>
          <w:szCs w:val="32"/>
        </w:rPr>
        <w:t>完善水旱灾害防御工作体系</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b/>
          <w:bCs/>
          <w:sz w:val="32"/>
          <w:szCs w:val="32"/>
        </w:rPr>
        <w:t>加强水工程统一联合调度。</w:t>
      </w:r>
      <w:r>
        <w:rPr>
          <w:rFonts w:hint="eastAsia" w:ascii="方正仿宋_GB2312" w:hAnsi="方正仿宋_GB2312" w:eastAsia="方正仿宋_GB2312" w:cs="方正仿宋_GB2312"/>
          <w:sz w:val="32"/>
          <w:szCs w:val="32"/>
        </w:rPr>
        <w:t>完善责任落实、决策支持、调度指挥“三位一体”水灾害防御工作机制，实施河道、水库、闸泵等流域水工程统一联合调度。</w:t>
      </w:r>
      <w:r>
        <w:rPr>
          <w:rFonts w:hint="eastAsia" w:ascii="方正仿宋_GB2312" w:hAnsi="方正仿宋_GB2312" w:eastAsia="方正仿宋_GB2312" w:cs="方正仿宋_GB2312"/>
          <w:b/>
          <w:bCs/>
          <w:sz w:val="32"/>
          <w:szCs w:val="32"/>
        </w:rPr>
        <w:t>强化灾害防御责任落实和联防联控。</w:t>
      </w:r>
      <w:r>
        <w:rPr>
          <w:rFonts w:hint="eastAsia" w:ascii="方正仿宋_GB2312" w:hAnsi="方正仿宋_GB2312" w:eastAsia="方正仿宋_GB2312" w:cs="方正仿宋_GB2312"/>
          <w:sz w:val="32"/>
          <w:szCs w:val="32"/>
        </w:rPr>
        <w:t>明确水库大坝安全责任、小型水库防汛责任，落实防汛行政、技术、巡查“三个责任人”和水雨情测报、调度运用方案、防汛应急预案“三个重点环节”。</w:t>
      </w:r>
      <w:r>
        <w:rPr>
          <w:rFonts w:hint="eastAsia" w:ascii="方正仿宋_GB2312" w:hAnsi="方正仿宋_GB2312" w:eastAsia="方正仿宋_GB2312" w:cs="方正仿宋_GB2312"/>
          <w:b/>
          <w:bCs/>
          <w:sz w:val="32"/>
          <w:szCs w:val="32"/>
        </w:rPr>
        <w:t>加强洪涝调度管理。</w:t>
      </w:r>
      <w:r>
        <w:rPr>
          <w:rFonts w:hint="eastAsia" w:ascii="方正仿宋_GB2312" w:hAnsi="方正仿宋_GB2312" w:eastAsia="方正仿宋_GB2312" w:cs="方正仿宋_GB2312"/>
          <w:sz w:val="32"/>
          <w:szCs w:val="32"/>
        </w:rPr>
        <w:t>进一步完善防汛抗旱指挥系统</w:t>
      </w:r>
      <w:r>
        <w:rPr>
          <w:rFonts w:hint="eastAsia" w:ascii="方正仿宋_GB2312" w:hAnsi="方正仿宋_GB2312" w:eastAsia="方正仿宋_GB2312" w:cs="方正仿宋_GB2312"/>
          <w:sz w:val="32"/>
          <w:szCs w:val="32"/>
          <w:lang w:val="en-US" w:eastAsia="zh-CN"/>
        </w:rPr>
        <w:t>，</w:t>
      </w:r>
      <w:r>
        <w:rPr>
          <w:rFonts w:hint="eastAsia" w:ascii="方正仿宋_GB2312" w:hAnsi="方正仿宋_GB2312" w:eastAsia="方正仿宋_GB2312" w:cs="方正仿宋_GB2312"/>
          <w:sz w:val="32"/>
          <w:szCs w:val="32"/>
        </w:rPr>
        <w:t>提升内河洪水灾害和旱情预报预警能力。同时制定科学合理的排涝调度方案，实现科学高效有序的调度。</w:t>
      </w:r>
    </w:p>
    <w:p w14:paraId="56C73C7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4.</w:t>
      </w:r>
      <w:r>
        <w:rPr>
          <w:rFonts w:hint="eastAsia" w:ascii="楷体_GB2312" w:hAnsi="楷体_GB2312" w:eastAsia="楷体_GB2312" w:cs="楷体_GB2312"/>
          <w:b/>
          <w:bCs/>
          <w:sz w:val="32"/>
          <w:szCs w:val="32"/>
        </w:rPr>
        <w:t>完善水旱灾害风险管理机制</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b/>
          <w:bCs/>
          <w:sz w:val="32"/>
          <w:szCs w:val="32"/>
        </w:rPr>
        <w:t>强化灾害风险常态化管理。</w:t>
      </w:r>
      <w:r>
        <w:rPr>
          <w:rFonts w:hint="eastAsia" w:ascii="方正仿宋_GB2312" w:hAnsi="方正仿宋_GB2312" w:eastAsia="方正仿宋_GB2312" w:cs="方正仿宋_GB2312"/>
          <w:sz w:val="32"/>
          <w:szCs w:val="32"/>
        </w:rPr>
        <w:t>开展水灾害综合风险普查，摸清风险隐患底数。定期开展水库、闸泵等工程设施隐患排查和安全鉴定，开展水库库容曲线复核，提升风险管控水平。</w:t>
      </w:r>
      <w:r>
        <w:rPr>
          <w:rFonts w:hint="eastAsia" w:ascii="方正仿宋_GB2312" w:hAnsi="方正仿宋_GB2312" w:eastAsia="方正仿宋_GB2312" w:cs="方正仿宋_GB2312"/>
          <w:b/>
          <w:bCs/>
          <w:sz w:val="32"/>
          <w:szCs w:val="32"/>
        </w:rPr>
        <w:t>提升水旱灾害应急处置能力。</w:t>
      </w:r>
      <w:r>
        <w:rPr>
          <w:rFonts w:hint="eastAsia" w:ascii="方正仿宋_GB2312" w:hAnsi="方正仿宋_GB2312" w:eastAsia="方正仿宋_GB2312" w:cs="方正仿宋_GB2312"/>
          <w:sz w:val="32"/>
          <w:szCs w:val="32"/>
        </w:rPr>
        <w:t>适时修编《台山市山洪灾害防御预案》等预案。加强应急预案演练，强化水利防汛抗旱物资储备</w:t>
      </w:r>
      <w:r>
        <w:rPr>
          <w:rFonts w:hint="eastAsia" w:ascii="方正仿宋_GB2312" w:hAnsi="方正仿宋_GB2312" w:eastAsia="方正仿宋_GB2312" w:cs="方正仿宋_GB2312"/>
          <w:sz w:val="32"/>
          <w:szCs w:val="32"/>
          <w:lang w:val="en-US" w:eastAsia="zh-CN"/>
        </w:rPr>
        <w:t>，</w:t>
      </w:r>
      <w:r>
        <w:rPr>
          <w:rFonts w:hint="eastAsia" w:ascii="方正仿宋_GB2312" w:hAnsi="方正仿宋_GB2312" w:eastAsia="方正仿宋_GB2312" w:cs="方正仿宋_GB2312"/>
          <w:sz w:val="32"/>
          <w:szCs w:val="32"/>
        </w:rPr>
        <w:t>持续开展群测群防工作，加强防灾减灾知识宣传和科普教育，提升全民洪涝灾害风险防范意识。</w:t>
      </w:r>
      <w:r>
        <w:rPr>
          <w:rFonts w:hint="eastAsia" w:ascii="方正仿宋_GB2312" w:hAnsi="方正仿宋_GB2312" w:eastAsia="方正仿宋_GB2312" w:cs="方正仿宋_GB2312"/>
          <w:b/>
          <w:bCs/>
          <w:sz w:val="32"/>
          <w:szCs w:val="32"/>
        </w:rPr>
        <w:t>加强超标准洪水风险管理。</w:t>
      </w:r>
      <w:r>
        <w:rPr>
          <w:rFonts w:hint="eastAsia" w:ascii="方正仿宋_GB2312" w:hAnsi="方正仿宋_GB2312" w:eastAsia="方正仿宋_GB2312" w:cs="方正仿宋_GB2312"/>
          <w:sz w:val="32"/>
          <w:szCs w:val="32"/>
        </w:rPr>
        <w:t>基于洪水风险图，编制超标准洪水应急预案，重点加强城区、各大工业园区洪水风险区域避险安置方案，以应对气候变化导致的超标准洪涝事件，保障重要防洪保护对象免受洪水威胁。</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944"/>
      </w:tblGrid>
      <w:tr w14:paraId="6EB71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3" w:hRule="atLeast"/>
        </w:trPr>
        <w:tc>
          <w:tcPr>
            <w:tcW w:w="8944" w:type="dxa"/>
            <w:tcBorders>
              <w:top w:val="single" w:color="auto" w:sz="4" w:space="0"/>
              <w:left w:val="single" w:color="auto" w:sz="4" w:space="0"/>
              <w:bottom w:val="single" w:color="auto" w:sz="4" w:space="0"/>
              <w:right w:val="single" w:color="auto" w:sz="4" w:space="0"/>
            </w:tcBorders>
            <w:shd w:val="clear" w:color="auto" w:fill="auto"/>
            <w:vAlign w:val="top"/>
          </w:tcPr>
          <w:p w14:paraId="119234E5">
            <w:pPr>
              <w:keepNext w:val="0"/>
              <w:keepLines w:val="0"/>
              <w:widowControl w:val="0"/>
              <w:suppressLineNumbers w:val="0"/>
              <w:autoSpaceDE w:val="0"/>
              <w:autoSpaceDN/>
              <w:spacing w:before="0" w:beforeAutospacing="0" w:after="0" w:afterAutospacing="0" w:line="360" w:lineRule="auto"/>
              <w:ind w:left="0" w:right="0"/>
              <w:jc w:val="center"/>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专栏 1 防洪能力提升建设项目</w:t>
            </w:r>
          </w:p>
        </w:tc>
      </w:tr>
      <w:tr w14:paraId="67734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36" w:hRule="atLeast"/>
        </w:trPr>
        <w:tc>
          <w:tcPr>
            <w:tcW w:w="8944" w:type="dxa"/>
            <w:tcBorders>
              <w:top w:val="single" w:color="auto" w:sz="4" w:space="0"/>
              <w:left w:val="single" w:color="auto" w:sz="4" w:space="0"/>
              <w:bottom w:val="single" w:color="auto" w:sz="4" w:space="0"/>
              <w:right w:val="single" w:color="auto" w:sz="4" w:space="0"/>
            </w:tcBorders>
            <w:shd w:val="clear" w:color="auto" w:fill="auto"/>
            <w:vAlign w:val="top"/>
          </w:tcPr>
          <w:p w14:paraId="5AD6BB3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20" w:lineRule="exact"/>
              <w:ind w:left="0" w:right="0"/>
              <w:jc w:val="left"/>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1.河流治理工程：推进实施江门市西江潭江流域跨界重点支流综合治理工程（二期）台山项目区、台山市新昌水治理工程、台山市新昌水幸福河湖防洪安全补短板建设项目、白沙水右岸白沙镇段堤防加固工程、川中河护岸加固工程。</w:t>
            </w:r>
          </w:p>
          <w:p w14:paraId="0F24DBD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20" w:lineRule="exact"/>
              <w:ind w:left="0" w:right="0"/>
              <w:jc w:val="left"/>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2.海堤工程：推进实施广海湾海堤加固工程、台山市家寮海堤达标加固工程、台山市浪湾海堤达标加固工程。</w:t>
            </w:r>
          </w:p>
          <w:p w14:paraId="6286AB9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20" w:lineRule="exact"/>
              <w:ind w:left="0" w:right="0"/>
              <w:jc w:val="left"/>
              <w:textAlignment w:val="auto"/>
              <w:rPr>
                <w:rFonts w:hint="eastAsia" w:ascii="仿宋_GB2312" w:hAnsi="Calibri" w:eastAsia="仿宋_GB2312" w:cs="仿宋_GB2312"/>
                <w:kern w:val="2"/>
                <w:sz w:val="32"/>
                <w:szCs w:val="32"/>
                <w:lang w:val="en-US" w:eastAsia="zh-CN" w:bidi="ar"/>
              </w:rPr>
            </w:pPr>
            <w:r>
              <w:rPr>
                <w:rFonts w:hint="eastAsia" w:ascii="仿宋_GB2312" w:hAnsi="Calibri" w:eastAsia="仿宋_GB2312" w:cs="仿宋_GB2312"/>
                <w:kern w:val="2"/>
                <w:sz w:val="32"/>
                <w:szCs w:val="32"/>
                <w:lang w:val="en-US" w:eastAsia="zh-CN" w:bidi="ar"/>
              </w:rPr>
              <w:t>3.水库、山塘加固工程：实施台山市老旧水库改造提升项目、台山市重点山塘加固工程、水步镇长坑水库除险加固工程</w:t>
            </w:r>
          </w:p>
          <w:p w14:paraId="16C384E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20" w:lineRule="exact"/>
              <w:ind w:left="0" w:right="0"/>
              <w:jc w:val="left"/>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4.病险水库水闸除险加固（重建）工程：推进实施达石水闸、八孔水闸、大隆迳北洞水闸、白沙水闸加固工程及烽火角水闸、铜鼓水闸、茭勒水闸重建工程。</w:t>
            </w:r>
          </w:p>
          <w:p w14:paraId="0285B9F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20" w:lineRule="exact"/>
              <w:ind w:left="0" w:right="0"/>
              <w:jc w:val="left"/>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5.农村涝区治理工程：实施江门台山市白沙镇易受淹镇综合整治项目、江门台山市赤溪镇易受淹镇综合整治项目、台山市防洪排涝综合整治项目、台山市涝区综合治理工程。</w:t>
            </w:r>
          </w:p>
        </w:tc>
      </w:tr>
    </w:tbl>
    <w:p w14:paraId="4AF19B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持续优化水资源配置格局</w:t>
      </w:r>
    </w:p>
    <w:p w14:paraId="21651970">
      <w:pPr>
        <w:keepNext w:val="0"/>
        <w:keepLines w:val="0"/>
        <w:widowControl w:val="0"/>
        <w:suppressLineNumbers w:val="0"/>
        <w:autoSpaceDE w:val="0"/>
        <w:autoSpaceDN/>
        <w:spacing w:before="0" w:beforeAutospacing="0" w:after="0" w:afterAutospacing="0" w:line="560" w:lineRule="exact"/>
        <w:ind w:left="0" w:right="0" w:firstLine="643" w:firstLineChars="200"/>
        <w:jc w:val="both"/>
        <w:rPr>
          <w:rFonts w:hint="eastAsia" w:ascii="方正仿宋_GB2312" w:hAnsi="方正仿宋_GB2312" w:eastAsia="方正仿宋_GB2312" w:cs="方正仿宋_GB2312"/>
          <w:kern w:val="2"/>
          <w:sz w:val="32"/>
          <w:szCs w:val="32"/>
        </w:rPr>
      </w:pPr>
      <w:r>
        <w:rPr>
          <w:rFonts w:hint="eastAsia" w:ascii="楷体_GB2312" w:hAnsi="Calibri" w:eastAsia="楷体_GB2312" w:cs="楷体_GB2312"/>
          <w:b/>
          <w:bCs/>
          <w:kern w:val="2"/>
          <w:sz w:val="32"/>
          <w:szCs w:val="32"/>
          <w:lang w:val="en-US" w:eastAsia="zh-CN" w:bidi="ar"/>
        </w:rPr>
        <w:t>1.强化水资源刚性约束。</w:t>
      </w:r>
      <w:r>
        <w:rPr>
          <w:rFonts w:hint="eastAsia" w:ascii="方正仿宋_GB2312" w:hAnsi="方正仿宋_GB2312" w:eastAsia="方正仿宋_GB2312" w:cs="方正仿宋_GB2312"/>
          <w:kern w:val="2"/>
          <w:sz w:val="32"/>
          <w:szCs w:val="32"/>
        </w:rPr>
        <w:t>严格用水总量和强度双控，对工业、农业、生活等领域用水指标进行科学分解与动态监管。强化水资源论证与取水许可管理，将水资源承载能力作为产业布局、城乡建设的重要依据。深入实施节水行动，构建涵盖取水、用水、排水全流程的精细化管控体系。推进水权水价水市场改革，完善监测预警机制，依托信息化平台实时监控水资源开发利用情况，守牢水资源安全底线。在工业领域推广节水技术改造，农业领域扩大高效节水灌溉面积，生活领域推广节水器具，提升全社会节水水平。</w:t>
      </w:r>
    </w:p>
    <w:p w14:paraId="7168621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2.</w:t>
      </w:r>
      <w:r>
        <w:rPr>
          <w:rFonts w:hint="eastAsia" w:ascii="楷体_GB2312" w:hAnsi="楷体_GB2312" w:eastAsia="楷体_GB2312" w:cs="楷体_GB2312"/>
          <w:b/>
          <w:bCs/>
          <w:sz w:val="32"/>
          <w:szCs w:val="32"/>
        </w:rPr>
        <w:t>加快区域水资源配置工程建设</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以提高供水可靠性、安全性为目标，加强区内供水工程与重大水资源配置工程衔接。加快广海湾供水设施及管网建设，优化供水工程联合调度，提升水资源调配效率。推动城区水厂规模化升级改造，有序推进城乡供水一体化。推进非常规水利用，将再生水等非常规水纳入水资源统一配置，确保满足上级下达非常规水源利用量控制目标，构建区域多源用水格局。</w:t>
      </w:r>
    </w:p>
    <w:p w14:paraId="7A18098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3.</w:t>
      </w:r>
      <w:r>
        <w:rPr>
          <w:rFonts w:hint="eastAsia" w:ascii="楷体_GB2312" w:hAnsi="楷体_GB2312" w:eastAsia="楷体_GB2312" w:cs="楷体_GB2312"/>
          <w:b/>
          <w:bCs/>
          <w:sz w:val="32"/>
          <w:szCs w:val="32"/>
        </w:rPr>
        <w:t>加强调蓄工程和水源工程建设</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以提升水资源调蓄、输水保障能力为目标，优先利用已建水库、引调水等骨干水源工程作为供水工程水源。实施台山市上下川岛小型引调水工程、水库清淤扩容工程，恢复水库有效防洪、兴利库容，增强水资源调控能力。</w:t>
      </w:r>
    </w:p>
    <w:p w14:paraId="587DA98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4.</w:t>
      </w:r>
      <w:r>
        <w:rPr>
          <w:rFonts w:hint="eastAsia" w:ascii="楷体_GB2312" w:hAnsi="楷体_GB2312" w:eastAsia="楷体_GB2312" w:cs="楷体_GB2312"/>
          <w:b/>
          <w:bCs/>
          <w:sz w:val="32"/>
          <w:szCs w:val="32"/>
        </w:rPr>
        <w:t>推动应急备用水源建设</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构建多源共济、多向供水的水源格局。优化台山市水资源配置方案，在现有供水水源挖潜改造的基础上，统筹考虑在建和规划水源，缓解局部地区工程性缺水、资源性缺水的紧张局面，提高城乡供水安全保障程度和应急备用能力。</w:t>
      </w:r>
    </w:p>
    <w:p w14:paraId="4CFF9C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869"/>
      </w:tblGrid>
      <w:tr w14:paraId="23391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869" w:type="dxa"/>
            <w:tcBorders>
              <w:top w:val="single" w:color="auto" w:sz="4" w:space="0"/>
              <w:left w:val="single" w:color="auto" w:sz="4" w:space="0"/>
              <w:bottom w:val="single" w:color="auto" w:sz="4" w:space="0"/>
              <w:right w:val="single" w:color="auto" w:sz="4" w:space="0"/>
            </w:tcBorders>
            <w:shd w:val="clear" w:color="auto" w:fill="auto"/>
            <w:vAlign w:val="top"/>
          </w:tcPr>
          <w:p w14:paraId="39402555">
            <w:pPr>
              <w:keepNext w:val="0"/>
              <w:keepLines w:val="0"/>
              <w:widowControl w:val="0"/>
              <w:suppressLineNumbers w:val="0"/>
              <w:autoSpaceDE w:val="0"/>
              <w:autoSpaceDN/>
              <w:spacing w:before="0" w:beforeAutospacing="0" w:after="0" w:afterAutospacing="0" w:line="360" w:lineRule="auto"/>
              <w:ind w:left="0" w:right="0"/>
              <w:jc w:val="center"/>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专栏 2 水资源配置及保障建设项目</w:t>
            </w:r>
          </w:p>
        </w:tc>
      </w:tr>
      <w:tr w14:paraId="4E56A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trPr>
        <w:tc>
          <w:tcPr>
            <w:tcW w:w="8869" w:type="dxa"/>
            <w:tcBorders>
              <w:top w:val="single" w:color="auto" w:sz="4" w:space="0"/>
              <w:left w:val="single" w:color="auto" w:sz="4" w:space="0"/>
              <w:bottom w:val="single" w:color="auto" w:sz="4" w:space="0"/>
              <w:right w:val="single" w:color="auto" w:sz="4" w:space="0"/>
            </w:tcBorders>
            <w:shd w:val="clear" w:color="auto" w:fill="auto"/>
            <w:vAlign w:val="top"/>
          </w:tcPr>
          <w:p w14:paraId="4D594E96">
            <w:pPr>
              <w:keepNext w:val="0"/>
              <w:keepLines w:val="0"/>
              <w:widowControl w:val="0"/>
              <w:suppressLineNumbers w:val="0"/>
              <w:autoSpaceDE w:val="0"/>
              <w:autoSpaceDN/>
              <w:spacing w:before="0" w:beforeAutospacing="0" w:after="0" w:afterAutospacing="0" w:line="360" w:lineRule="auto"/>
              <w:ind w:left="0" w:right="0"/>
              <w:jc w:val="both"/>
              <w:rPr>
                <w:rFonts w:hint="eastAsia" w:ascii="仿宋_GB2312" w:hAnsi="Calibri" w:eastAsia="仿宋_GB2312" w:cs="仿宋_GB2312"/>
                <w:kern w:val="2"/>
                <w:sz w:val="32"/>
                <w:szCs w:val="32"/>
                <w:lang w:val="en-US" w:eastAsia="zh-CN" w:bidi="ar"/>
              </w:rPr>
            </w:pPr>
            <w:r>
              <w:rPr>
                <w:rFonts w:hint="eastAsia" w:ascii="仿宋_GB2312" w:hAnsi="Calibri" w:eastAsia="仿宋_GB2312" w:cs="仿宋_GB2312"/>
                <w:kern w:val="2"/>
                <w:sz w:val="32"/>
                <w:szCs w:val="32"/>
                <w:lang w:val="en-US" w:eastAsia="zh-CN" w:bidi="ar"/>
              </w:rPr>
              <w:t>1.水资源配置工程：实施台山市供水管网及配套设施改造工程、冲蒌镇供水管道引调水工程、台山市台城污水处理厂再生水利用与绿色赋能项目</w:t>
            </w:r>
          </w:p>
          <w:p w14:paraId="404E1878">
            <w:pPr>
              <w:keepNext w:val="0"/>
              <w:keepLines w:val="0"/>
              <w:widowControl w:val="0"/>
              <w:suppressLineNumbers w:val="0"/>
              <w:autoSpaceDE w:val="0"/>
              <w:autoSpaceDN/>
              <w:spacing w:before="0" w:beforeAutospacing="0" w:after="0" w:afterAutospacing="0" w:line="360" w:lineRule="auto"/>
              <w:ind w:left="0" w:right="0"/>
              <w:jc w:val="both"/>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2.调蓄工程和水源工程：实施台山市上下川岛小型引调水工程</w:t>
            </w:r>
          </w:p>
        </w:tc>
      </w:tr>
    </w:tbl>
    <w:p w14:paraId="66C932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夯实乡村全面振兴水利保障基础</w:t>
      </w:r>
    </w:p>
    <w:p w14:paraId="4B1C094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1.</w:t>
      </w:r>
      <w:r>
        <w:rPr>
          <w:rFonts w:hint="eastAsia" w:ascii="楷体_GB2312" w:hAnsi="楷体_GB2312" w:eastAsia="楷体_GB2312" w:cs="楷体_GB2312"/>
          <w:b/>
          <w:bCs/>
          <w:sz w:val="32"/>
          <w:szCs w:val="32"/>
        </w:rPr>
        <w:t>健全农村供水保障体系</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b/>
          <w:bCs/>
          <w:sz w:val="32"/>
          <w:szCs w:val="32"/>
        </w:rPr>
        <w:t>增强农村供水保障能力。</w:t>
      </w:r>
      <w:r>
        <w:rPr>
          <w:rFonts w:hint="eastAsia" w:ascii="方正仿宋_GB2312" w:hAnsi="方正仿宋_GB2312" w:eastAsia="方正仿宋_GB2312" w:cs="方正仿宋_GB2312"/>
          <w:sz w:val="32"/>
          <w:szCs w:val="32"/>
        </w:rPr>
        <w:t>持续深化农村供水“三同五化”改造提升建设任务，推动农村供水从单元分散向规模集中转变。扩大集中规模化水厂的供水范围，搭建农村供水智慧管理平台，实现供水工程运行状态实时监控、故障预警和精准调度，推动农村供水从传统管理向数智化管理转变、从“有水喝”向“喝好水”转变。</w:t>
      </w:r>
    </w:p>
    <w:p w14:paraId="3EE5C85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2.</w:t>
      </w:r>
      <w:r>
        <w:rPr>
          <w:rFonts w:hint="eastAsia" w:ascii="楷体_GB2312" w:hAnsi="楷体_GB2312" w:eastAsia="楷体_GB2312" w:cs="楷体_GB2312"/>
          <w:b/>
          <w:bCs/>
          <w:sz w:val="32"/>
          <w:szCs w:val="32"/>
        </w:rPr>
        <w:t>加强灌区现代化建设和改造</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加快广海湾大型灌区创建和大中型灌区续建配套与节水改造。重点实施陈坑水库灌区、响水潭水库灌区、猪乸潭水库灌区、南坑水库灌区续建配套与现代化改造工程，推进灌区基础设施现代化升级改造。</w:t>
      </w:r>
    </w:p>
    <w:p w14:paraId="62783AA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3.</w:t>
      </w:r>
      <w:r>
        <w:rPr>
          <w:rFonts w:hint="eastAsia" w:ascii="楷体_GB2312" w:hAnsi="楷体_GB2312" w:eastAsia="楷体_GB2312" w:cs="楷体_GB2312"/>
          <w:b/>
          <w:bCs/>
          <w:sz w:val="32"/>
          <w:szCs w:val="32"/>
        </w:rPr>
        <w:t>强化水库移民后期扶持</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深入推进水库移民后期扶持，建设美丽家园</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提升水库移民基础设施。以移民村为主体，以产业融合发展为重点，突出地域特色，支持移民村发展特色种植、养殖及乡村旅游等产业，培育新产业新业态。</w:t>
      </w:r>
    </w:p>
    <w:p w14:paraId="6F57D97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4.</w:t>
      </w:r>
      <w:r>
        <w:rPr>
          <w:rFonts w:hint="eastAsia" w:ascii="方正仿宋_GB2312" w:hAnsi="方正仿宋_GB2312" w:eastAsia="方正仿宋_GB2312" w:cs="方正仿宋_GB2312"/>
          <w:b/>
          <w:bCs/>
          <w:sz w:val="32"/>
          <w:szCs w:val="32"/>
        </w:rPr>
        <w:t>强化农村水利设施管护。</w:t>
      </w:r>
      <w:r>
        <w:rPr>
          <w:rFonts w:hint="eastAsia" w:ascii="方正仿宋_GB2312" w:hAnsi="方正仿宋_GB2312" w:eastAsia="方正仿宋_GB2312" w:cs="方正仿宋_GB2312"/>
          <w:sz w:val="32"/>
          <w:szCs w:val="32"/>
        </w:rPr>
        <w:t>加强农村水利设施配套，推进修复小型水库、山塘、泵站等设施。完善水利设施管护机制，推进基层水利管理能力建设，落实管护责任，建立“政府主导、专业管护、群众参与”的管护模式，确保工程长期稳定发挥效益。</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794"/>
      </w:tblGrid>
      <w:tr w14:paraId="75E70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794" w:type="dxa"/>
            <w:tcBorders>
              <w:top w:val="single" w:color="auto" w:sz="4" w:space="0"/>
              <w:left w:val="single" w:color="auto" w:sz="4" w:space="0"/>
              <w:bottom w:val="single" w:color="auto" w:sz="4" w:space="0"/>
              <w:right w:val="single" w:color="auto" w:sz="4" w:space="0"/>
            </w:tcBorders>
            <w:shd w:val="clear" w:color="auto" w:fill="auto"/>
            <w:vAlign w:val="top"/>
          </w:tcPr>
          <w:p w14:paraId="00F6E7DA">
            <w:pPr>
              <w:keepNext w:val="0"/>
              <w:keepLines w:val="0"/>
              <w:widowControl w:val="0"/>
              <w:suppressLineNumbers w:val="0"/>
              <w:autoSpaceDE w:val="0"/>
              <w:autoSpaceDN/>
              <w:spacing w:before="0" w:beforeAutospacing="0" w:after="0" w:afterAutospacing="0" w:line="360" w:lineRule="auto"/>
              <w:ind w:left="0" w:right="0"/>
              <w:jc w:val="center"/>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专栏 3 乡村振兴水利基础建设项目</w:t>
            </w:r>
          </w:p>
        </w:tc>
      </w:tr>
      <w:tr w14:paraId="714B8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4" w:type="dxa"/>
            <w:tcBorders>
              <w:top w:val="single" w:color="auto" w:sz="4" w:space="0"/>
              <w:left w:val="single" w:color="auto" w:sz="4" w:space="0"/>
              <w:bottom w:val="single" w:color="auto" w:sz="4" w:space="0"/>
              <w:right w:val="single" w:color="auto" w:sz="4" w:space="0"/>
            </w:tcBorders>
            <w:shd w:val="clear" w:color="auto" w:fill="auto"/>
            <w:vAlign w:val="top"/>
          </w:tcPr>
          <w:p w14:paraId="6FA7727A">
            <w:pPr>
              <w:keepNext w:val="0"/>
              <w:keepLines w:val="0"/>
              <w:widowControl w:val="0"/>
              <w:suppressLineNumbers w:val="0"/>
              <w:autoSpaceDE w:val="0"/>
              <w:autoSpaceDN/>
              <w:spacing w:before="0" w:beforeAutospacing="0" w:after="0" w:afterAutospacing="0" w:line="360" w:lineRule="auto"/>
              <w:ind w:left="0" w:right="0"/>
              <w:jc w:val="both"/>
              <w:rPr>
                <w:rFonts w:hint="eastAsia" w:ascii="仿宋_GB2312" w:hAnsi="Calibri" w:eastAsia="仿宋_GB2312" w:cs="仿宋_GB2312"/>
                <w:kern w:val="2"/>
                <w:sz w:val="32"/>
                <w:szCs w:val="32"/>
                <w:lang w:val="en-US" w:eastAsia="zh-CN" w:bidi="ar"/>
              </w:rPr>
            </w:pPr>
            <w:r>
              <w:rPr>
                <w:rFonts w:hint="eastAsia" w:ascii="仿宋_GB2312" w:hAnsi="Calibri" w:eastAsia="仿宋_GB2312" w:cs="仿宋_GB2312"/>
                <w:kern w:val="2"/>
                <w:sz w:val="32"/>
                <w:szCs w:val="32"/>
                <w:lang w:val="en-US" w:eastAsia="zh-CN" w:bidi="ar"/>
              </w:rPr>
              <w:t>1.农村供水工程：加快推进台山市农村供水“三同五化”改造提升工程</w:t>
            </w:r>
          </w:p>
          <w:p w14:paraId="6EFF1F6F">
            <w:pPr>
              <w:keepNext w:val="0"/>
              <w:keepLines w:val="0"/>
              <w:widowControl w:val="0"/>
              <w:suppressLineNumbers w:val="0"/>
              <w:autoSpaceDE w:val="0"/>
              <w:autoSpaceDN/>
              <w:spacing w:before="0" w:beforeAutospacing="0" w:after="0" w:afterAutospacing="0" w:line="360" w:lineRule="auto"/>
              <w:ind w:left="0" w:right="0"/>
              <w:jc w:val="both"/>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2.灌区现代化建设与改造工程：实施广海湾灌区续建配套与现代化改造工程、陈坑水库灌区等4宗中型灌区续建配套与现代化改造工程、台山市水利因素撂荒地整治项目。</w:t>
            </w:r>
          </w:p>
        </w:tc>
      </w:tr>
    </w:tbl>
    <w:p w14:paraId="7336BE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724E8E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完善河湖生态保护治理体系</w:t>
      </w:r>
    </w:p>
    <w:p w14:paraId="37747EE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1.</w:t>
      </w:r>
      <w:r>
        <w:rPr>
          <w:rFonts w:hint="eastAsia" w:ascii="楷体_GB2312" w:hAnsi="楷体_GB2312" w:eastAsia="楷体_GB2312" w:cs="楷体_GB2312"/>
          <w:b/>
          <w:bCs/>
          <w:sz w:val="32"/>
          <w:szCs w:val="32"/>
        </w:rPr>
        <w:t>打造绿美碧带建设幸福河湖</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b/>
          <w:bCs/>
          <w:sz w:val="32"/>
          <w:szCs w:val="32"/>
        </w:rPr>
        <w:t>推进万里碧道建设。</w:t>
      </w:r>
      <w:r>
        <w:rPr>
          <w:rFonts w:hint="eastAsia" w:ascii="方正仿宋_GB2312" w:hAnsi="方正仿宋_GB2312" w:eastAsia="方正仿宋_GB2312" w:cs="方正仿宋_GB2312"/>
          <w:sz w:val="32"/>
          <w:szCs w:val="32"/>
        </w:rPr>
        <w:t>在万里碧道建设基础上开展碧道建设，结合区域发展格局，升级打造集安澜生态水带、绿美景观林带、文化休闲带、滨水经济带于一体的多功能绿美碧带。开展幸福河湖建设，高标准完成台山市大隆洞河国家级幸福河湖建设。</w:t>
      </w:r>
    </w:p>
    <w:p w14:paraId="138A742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lang w:eastAsia="zh-CN"/>
        </w:rPr>
      </w:pPr>
      <w:r>
        <w:rPr>
          <w:rFonts w:hint="eastAsia" w:ascii="楷体_GB2312" w:hAnsi="楷体_GB2312" w:eastAsia="楷体_GB2312" w:cs="楷体_GB2312"/>
          <w:b/>
          <w:bCs/>
          <w:sz w:val="32"/>
          <w:szCs w:val="32"/>
          <w:lang w:val="en-US" w:eastAsia="zh-CN"/>
        </w:rPr>
        <w:t>2.</w:t>
      </w:r>
      <w:r>
        <w:rPr>
          <w:rFonts w:hint="eastAsia" w:ascii="楷体_GB2312" w:hAnsi="楷体_GB2312" w:eastAsia="楷体_GB2312" w:cs="楷体_GB2312"/>
          <w:b/>
          <w:bCs/>
          <w:sz w:val="32"/>
          <w:szCs w:val="32"/>
        </w:rPr>
        <w:t>加强水资源保护</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lang w:eastAsia="zh-CN"/>
        </w:rPr>
        <w:t>严格地下水管控，落实地下水取用水总量、水位双控管理，严控地下水开采。严格执行建设项目水资源论证制度，强化规划水资源论证。完善水资源监测统计体系，加快取水口监测计量设施建设与升级改造，配齐计量监测设备。健全取用水计量管理制度，依法开展计量核查。持续推行用水统计调查制度，从严抓实用水统计各项管理工作。严格取水许可审批，规范取水许可事中事后监管。</w:t>
      </w:r>
    </w:p>
    <w:p w14:paraId="7280401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3.</w:t>
      </w:r>
      <w:r>
        <w:rPr>
          <w:rFonts w:hint="eastAsia" w:ascii="楷体_GB2312" w:hAnsi="楷体_GB2312" w:eastAsia="楷体_GB2312" w:cs="楷体_GB2312"/>
          <w:b/>
          <w:bCs/>
          <w:sz w:val="32"/>
          <w:szCs w:val="32"/>
        </w:rPr>
        <w:t>实施河湖水生态修复</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b/>
          <w:bCs/>
          <w:sz w:val="32"/>
          <w:szCs w:val="32"/>
        </w:rPr>
        <w:t>强化河湖生态流量保障。</w:t>
      </w:r>
      <w:r>
        <w:rPr>
          <w:rFonts w:hint="eastAsia" w:ascii="方正仿宋_GB2312" w:hAnsi="方正仿宋_GB2312" w:eastAsia="方正仿宋_GB2312" w:cs="方正仿宋_GB2312"/>
          <w:sz w:val="32"/>
          <w:szCs w:val="32"/>
        </w:rPr>
        <w:t>立足河湖水资源条件和生态保护需求，强化生态流量调度管理，完善生态流量泄放和监控设施，加强监督管理。</w:t>
      </w:r>
      <w:r>
        <w:rPr>
          <w:rFonts w:hint="eastAsia" w:ascii="方正仿宋_GB2312" w:hAnsi="方正仿宋_GB2312" w:eastAsia="方正仿宋_GB2312" w:cs="方正仿宋_GB2312"/>
          <w:b/>
          <w:bCs/>
          <w:sz w:val="32"/>
          <w:szCs w:val="32"/>
        </w:rPr>
        <w:t>持续推进河道清淤与生态修复。</w:t>
      </w:r>
      <w:r>
        <w:rPr>
          <w:rFonts w:hint="eastAsia" w:ascii="方正仿宋_GB2312" w:hAnsi="方正仿宋_GB2312" w:eastAsia="方正仿宋_GB2312" w:cs="方正仿宋_GB2312"/>
          <w:sz w:val="32"/>
          <w:szCs w:val="32"/>
        </w:rPr>
        <w:t>持续推进重点流域水环境综合整治和水生态治理修复工程，推动实施流域面积20～50km</w:t>
      </w:r>
      <w:r>
        <w:rPr>
          <w:rFonts w:hint="eastAsia" w:ascii="方正仿宋_GB2312" w:hAnsi="方正仿宋_GB2312" w:eastAsia="方正仿宋_GB2312" w:cs="方正仿宋_GB2312"/>
          <w:sz w:val="32"/>
          <w:szCs w:val="32"/>
          <w:vertAlign w:val="superscript"/>
        </w:rPr>
        <w:t>2</w:t>
      </w:r>
      <w:r>
        <w:rPr>
          <w:rFonts w:hint="eastAsia" w:ascii="方正仿宋_GB2312" w:hAnsi="方正仿宋_GB2312" w:eastAsia="方正仿宋_GB2312" w:cs="方正仿宋_GB2312"/>
          <w:sz w:val="32"/>
          <w:szCs w:val="32"/>
        </w:rPr>
        <w:t xml:space="preserve"> 的农村水系综合整治，恢复和提升河道行洪能力。</w:t>
      </w:r>
      <w:r>
        <w:rPr>
          <w:rFonts w:hint="eastAsia" w:ascii="方正仿宋_GB2312" w:hAnsi="方正仿宋_GB2312" w:eastAsia="方正仿宋_GB2312" w:cs="方正仿宋_GB2312"/>
          <w:b/>
          <w:bCs/>
          <w:sz w:val="32"/>
          <w:szCs w:val="32"/>
        </w:rPr>
        <w:t>加快小水电站提质改造。</w:t>
      </w:r>
      <w:r>
        <w:rPr>
          <w:rFonts w:hint="eastAsia" w:ascii="方正仿宋_GB2312" w:hAnsi="方正仿宋_GB2312" w:eastAsia="方正仿宋_GB2312" w:cs="方正仿宋_GB2312"/>
          <w:b w:val="0"/>
          <w:bCs w:val="0"/>
          <w:sz w:val="32"/>
          <w:szCs w:val="32"/>
        </w:rPr>
        <w:t>开展设备更新升级、安全隐患排查整治及运维管理优化，补齐设施短板。</w:t>
      </w:r>
      <w:r>
        <w:rPr>
          <w:rFonts w:hint="eastAsia" w:ascii="方正仿宋_GB2312" w:hAnsi="方正仿宋_GB2312" w:eastAsia="方正仿宋_GB2312" w:cs="方正仿宋_GB2312"/>
          <w:b/>
          <w:bCs/>
          <w:sz w:val="32"/>
          <w:szCs w:val="32"/>
        </w:rPr>
        <w:t>强化河湖健康动态监测。</w:t>
      </w:r>
      <w:r>
        <w:rPr>
          <w:rFonts w:hint="eastAsia" w:ascii="方正仿宋_GB2312" w:hAnsi="方正仿宋_GB2312" w:eastAsia="方正仿宋_GB2312" w:cs="方正仿宋_GB2312"/>
          <w:sz w:val="32"/>
          <w:szCs w:val="32"/>
        </w:rPr>
        <w:t>以流域为单元，开展河湖健康评价、建立河湖健康档案、滚动编制“一河（湖）一策”和推动健康监测等工作，逐步建立河湖健康评价监测系统，为河湖生态保护修复提供科学支撑。</w:t>
      </w:r>
    </w:p>
    <w:p w14:paraId="168879E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4.</w:t>
      </w:r>
      <w:r>
        <w:rPr>
          <w:rFonts w:hint="eastAsia" w:ascii="楷体_GB2312" w:hAnsi="楷体_GB2312" w:eastAsia="楷体_GB2312" w:cs="楷体_GB2312"/>
          <w:b/>
          <w:bCs/>
          <w:sz w:val="32"/>
          <w:szCs w:val="32"/>
        </w:rPr>
        <w:t>加大河湖管理保护力度</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b/>
          <w:bCs/>
          <w:sz w:val="32"/>
          <w:szCs w:val="32"/>
        </w:rPr>
        <w:t>严格河湖水域岸线管控。</w:t>
      </w:r>
      <w:r>
        <w:rPr>
          <w:rFonts w:hint="eastAsia" w:ascii="方正仿宋_GB2312" w:hAnsi="方正仿宋_GB2312" w:eastAsia="方正仿宋_GB2312" w:cs="方正仿宋_GB2312"/>
          <w:sz w:val="32"/>
          <w:szCs w:val="32"/>
        </w:rPr>
        <w:t>建立健全水生态空间用途管控制度，严格水域岸线等水生态空间管控，依法划定河湖管理范围，明确涉水生态空间分区分类管控要求。推进河湖“清四乱”整治常态化规范化，遏制新增问题，恢复河湖水域岸线生态功能。</w:t>
      </w:r>
      <w:r>
        <w:rPr>
          <w:rFonts w:hint="eastAsia" w:ascii="方正仿宋_GB2312" w:hAnsi="方正仿宋_GB2312" w:eastAsia="方正仿宋_GB2312" w:cs="方正仿宋_GB2312"/>
          <w:b/>
          <w:bCs/>
          <w:sz w:val="32"/>
          <w:szCs w:val="32"/>
        </w:rPr>
        <w:t>推进河道、水库常态化保洁。</w:t>
      </w:r>
      <w:r>
        <w:rPr>
          <w:rFonts w:hint="eastAsia" w:ascii="方正仿宋_GB2312" w:hAnsi="方正仿宋_GB2312" w:eastAsia="方正仿宋_GB2312" w:cs="方正仿宋_GB2312"/>
          <w:sz w:val="32"/>
          <w:szCs w:val="32"/>
        </w:rPr>
        <w:t>对主要河道、水库进行保洁服务，建立健全巡查监督与考核评估机制，持续巩固河道“清漂”成效。强化大中型、小型水库工程设施养护，开展库区水面漂浮物及大坝背水坡杂草等常态化保洁清理，提升工程管护养护水平。</w:t>
      </w:r>
      <w:r>
        <w:rPr>
          <w:rFonts w:hint="eastAsia" w:ascii="方正仿宋_GB2312" w:hAnsi="方正仿宋_GB2312" w:eastAsia="方正仿宋_GB2312" w:cs="方正仿宋_GB2312"/>
          <w:b/>
          <w:bCs/>
          <w:sz w:val="32"/>
          <w:szCs w:val="32"/>
        </w:rPr>
        <w:t>加强河道采砂管理。</w:t>
      </w:r>
      <w:r>
        <w:rPr>
          <w:rFonts w:hint="eastAsia" w:ascii="方正仿宋_GB2312" w:hAnsi="方正仿宋_GB2312" w:eastAsia="方正仿宋_GB2312" w:cs="方正仿宋_GB2312"/>
          <w:sz w:val="32"/>
          <w:szCs w:val="32"/>
        </w:rPr>
        <w:t>规范河道采砂许可，对采砂区域开展常态化巡查。建立多部门联动机制，严厉打击非法采砂行为，加强采砂后河道生态修复，确保河势稳定与水生态健康。</w:t>
      </w:r>
    </w:p>
    <w:p w14:paraId="6433DC7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5.</w:t>
      </w:r>
      <w:r>
        <w:rPr>
          <w:rFonts w:hint="eastAsia" w:ascii="楷体_GB2312" w:hAnsi="楷体_GB2312" w:eastAsia="楷体_GB2312" w:cs="楷体_GB2312"/>
          <w:b/>
          <w:bCs/>
          <w:sz w:val="32"/>
          <w:szCs w:val="32"/>
        </w:rPr>
        <w:t>系统推进水土流失综合防治与监管</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b/>
          <w:bCs/>
          <w:sz w:val="32"/>
          <w:szCs w:val="32"/>
        </w:rPr>
        <w:t>推进水土流失综合治理。</w:t>
      </w:r>
      <w:r>
        <w:rPr>
          <w:rFonts w:hint="eastAsia" w:ascii="方正仿宋_GB2312" w:hAnsi="方正仿宋_GB2312" w:eastAsia="方正仿宋_GB2312" w:cs="方正仿宋_GB2312"/>
          <w:sz w:val="32"/>
          <w:szCs w:val="32"/>
        </w:rPr>
        <w:t>分类实施水土流失治理工程，开展重点区域小流域水土流失综合治理。</w:t>
      </w:r>
      <w:r>
        <w:rPr>
          <w:rFonts w:hint="eastAsia" w:ascii="方正仿宋_GB2312" w:hAnsi="方正仿宋_GB2312" w:eastAsia="方正仿宋_GB2312" w:cs="方正仿宋_GB2312"/>
          <w:b/>
          <w:bCs/>
          <w:sz w:val="32"/>
          <w:szCs w:val="32"/>
        </w:rPr>
        <w:t>强化水土保持智慧监管。</w:t>
      </w:r>
      <w:r>
        <w:rPr>
          <w:rFonts w:hint="eastAsia" w:ascii="方正仿宋_GB2312" w:hAnsi="方正仿宋_GB2312" w:eastAsia="方正仿宋_GB2312" w:cs="方正仿宋_GB2312"/>
          <w:sz w:val="32"/>
          <w:szCs w:val="32"/>
        </w:rPr>
        <w:t>优化水土保持监测站网布局，推行水土流失动态精准监测，推进现代信息技术与水土保持融合。建立完善水土保持监督检查与水行政综合执法的长效机制，加强宣传，增强全社会保护水土资源的意识和自觉性。</w:t>
      </w:r>
    </w:p>
    <w:p w14:paraId="463A725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6.</w:t>
      </w:r>
      <w:r>
        <w:rPr>
          <w:rFonts w:hint="eastAsia" w:ascii="楷体_GB2312" w:hAnsi="楷体_GB2312" w:eastAsia="楷体_GB2312" w:cs="楷体_GB2312"/>
          <w:b/>
          <w:bCs/>
          <w:sz w:val="32"/>
          <w:szCs w:val="32"/>
        </w:rPr>
        <w:t>推进水文化水经济建设</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b/>
          <w:bCs/>
          <w:sz w:val="32"/>
          <w:szCs w:val="32"/>
        </w:rPr>
        <w:t>推进水文化与水景观建设。</w:t>
      </w:r>
      <w:r>
        <w:rPr>
          <w:rFonts w:hint="eastAsia" w:ascii="方正仿宋_GB2312" w:hAnsi="方正仿宋_GB2312" w:eastAsia="方正仿宋_GB2312" w:cs="方正仿宋_GB2312"/>
          <w:sz w:val="32"/>
          <w:szCs w:val="32"/>
        </w:rPr>
        <w:t>依托生态人文景观长廊及滨海特色、乡村生态文化特色游径，串联沿线重要景观节点，增强滨水空间功能的开放性、贯通性、便民性和舒适性。依托南部优质滨海资源，打造滨海蓝色休闲风情带。充分挖掘现有工程及水景观建设，结合侨乡文化底蕴，打造“侨乡水韵”特色景观品牌。</w:t>
      </w:r>
      <w:r>
        <w:rPr>
          <w:rFonts w:hint="eastAsia" w:ascii="方正仿宋_GB2312" w:hAnsi="方正仿宋_GB2312" w:eastAsia="方正仿宋_GB2312" w:cs="方正仿宋_GB2312"/>
          <w:b/>
          <w:bCs/>
          <w:sz w:val="32"/>
          <w:szCs w:val="32"/>
        </w:rPr>
        <w:t>加快推进水美经济发展。</w:t>
      </w:r>
      <w:r>
        <w:rPr>
          <w:rFonts w:hint="eastAsia" w:ascii="方正仿宋_GB2312" w:hAnsi="方正仿宋_GB2312" w:eastAsia="方正仿宋_GB2312" w:cs="方正仿宋_GB2312"/>
          <w:sz w:val="32"/>
          <w:szCs w:val="32"/>
        </w:rPr>
        <w:t>强化水系周边文化资源的保护与利用，统筹现有资源建设高品质水岸空间，构建“特色文化+复合业态”的经济模式。打造特色水文化休闲游憩景观带、生态活力滨水经济带，探索发展水上运动、滨水文旅等相关水生态旅游融合产业。依托碧道沿线农业资源，打造绿色农业水长廊，发展休闲采摘、农事体验等产业，打造“水美台山”品牌。</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854"/>
      </w:tblGrid>
      <w:tr w14:paraId="4F2A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854" w:type="dxa"/>
            <w:tcBorders>
              <w:top w:val="single" w:color="auto" w:sz="4" w:space="0"/>
              <w:left w:val="single" w:color="auto" w:sz="4" w:space="0"/>
              <w:bottom w:val="single" w:color="auto" w:sz="4" w:space="0"/>
              <w:right w:val="single" w:color="auto" w:sz="4" w:space="0"/>
            </w:tcBorders>
            <w:shd w:val="clear" w:color="auto" w:fill="auto"/>
            <w:vAlign w:val="center"/>
          </w:tcPr>
          <w:p w14:paraId="3E3954E3">
            <w:pPr>
              <w:keepNext w:val="0"/>
              <w:keepLines w:val="0"/>
              <w:widowControl w:val="0"/>
              <w:suppressLineNumbers w:val="0"/>
              <w:autoSpaceDE w:val="0"/>
              <w:autoSpaceDN/>
              <w:spacing w:before="0" w:beforeAutospacing="0" w:after="0" w:afterAutospacing="0" w:line="360" w:lineRule="auto"/>
              <w:ind w:left="0" w:right="0"/>
              <w:jc w:val="center"/>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专栏 4 水生态保护与修复建设项目</w:t>
            </w:r>
          </w:p>
        </w:tc>
      </w:tr>
      <w:tr w14:paraId="7B14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4" w:type="dxa"/>
            <w:tcBorders>
              <w:top w:val="single" w:color="auto" w:sz="4" w:space="0"/>
              <w:left w:val="single" w:color="auto" w:sz="4" w:space="0"/>
              <w:bottom w:val="single" w:color="auto" w:sz="4" w:space="0"/>
              <w:right w:val="single" w:color="auto" w:sz="4" w:space="0"/>
            </w:tcBorders>
            <w:shd w:val="clear" w:color="auto" w:fill="auto"/>
            <w:vAlign w:val="top"/>
          </w:tcPr>
          <w:p w14:paraId="725A0251">
            <w:pPr>
              <w:keepNext w:val="0"/>
              <w:keepLines w:val="0"/>
              <w:widowControl w:val="0"/>
              <w:suppressLineNumbers w:val="0"/>
              <w:autoSpaceDE w:val="0"/>
              <w:autoSpaceDN/>
              <w:spacing w:before="0" w:beforeAutospacing="0" w:after="0" w:afterAutospacing="0" w:line="360" w:lineRule="auto"/>
              <w:ind w:left="0" w:right="0"/>
              <w:jc w:val="both"/>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1.幸福河湖建设：完成大隆洞河幸福河湖建设项目</w:t>
            </w:r>
          </w:p>
          <w:p w14:paraId="79274C4D">
            <w:pPr>
              <w:keepNext w:val="0"/>
              <w:keepLines w:val="0"/>
              <w:widowControl w:val="0"/>
              <w:suppressLineNumbers w:val="0"/>
              <w:autoSpaceDE w:val="0"/>
              <w:autoSpaceDN/>
              <w:spacing w:before="0" w:beforeAutospacing="0" w:after="0" w:afterAutospacing="0" w:line="360" w:lineRule="auto"/>
              <w:ind w:left="0" w:right="0"/>
              <w:jc w:val="both"/>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2.水土流失治理项目：实施台山市大隆洞河生态清洁小流域治理工程</w:t>
            </w:r>
          </w:p>
          <w:p w14:paraId="56787D9E">
            <w:pPr>
              <w:keepNext w:val="0"/>
              <w:keepLines w:val="0"/>
              <w:widowControl w:val="0"/>
              <w:suppressLineNumbers w:val="0"/>
              <w:autoSpaceDE w:val="0"/>
              <w:autoSpaceDN/>
              <w:spacing w:before="0" w:beforeAutospacing="0" w:after="0" w:afterAutospacing="0" w:line="360" w:lineRule="auto"/>
              <w:ind w:left="0" w:right="0"/>
              <w:jc w:val="both"/>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3.农村水系综合整治工程：台山市全域农村水系综合整治工程</w:t>
            </w:r>
          </w:p>
          <w:p w14:paraId="27FB3CDD">
            <w:pPr>
              <w:keepNext w:val="0"/>
              <w:keepLines w:val="0"/>
              <w:widowControl w:val="0"/>
              <w:suppressLineNumbers w:val="0"/>
              <w:autoSpaceDE w:val="0"/>
              <w:autoSpaceDN/>
              <w:spacing w:before="0" w:beforeAutospacing="0" w:after="0" w:afterAutospacing="0" w:line="360" w:lineRule="auto"/>
              <w:ind w:left="0" w:right="0"/>
              <w:jc w:val="both"/>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4.农村水污染治理工程：完成台山市污水处理设施及配套管网建设及提升改造项目</w:t>
            </w:r>
          </w:p>
        </w:tc>
      </w:tr>
    </w:tbl>
    <w:p w14:paraId="551DFA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推进数字孪生水利建设</w:t>
      </w:r>
    </w:p>
    <w:p w14:paraId="7B536EE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1.</w:t>
      </w:r>
      <w:r>
        <w:rPr>
          <w:rFonts w:hint="eastAsia" w:ascii="楷体_GB2312" w:hAnsi="楷体_GB2312" w:eastAsia="楷体_GB2312" w:cs="楷体_GB2312"/>
          <w:b/>
          <w:bCs/>
          <w:sz w:val="32"/>
          <w:szCs w:val="32"/>
        </w:rPr>
        <w:t>推进监测感知体系建设</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按照水文监测能力提升工程及“天空地水工”一体化监测感知夯基提能行动部署要求，对存在老化、破损等问题的水利工程配套水文设施实施智能化升级改造。依托物联网、大数据等先进技术构建智能感知体系，推进主要江河湖库一体化监控、小型水库雨水情和大坝安全监测设施建设、中小水电站生态流量监测、山洪监测体系升级改造、水资源监测感知网建设、水利工程运行管理监测感知网建设、水生态环境感知网建设等工作。</w:t>
      </w:r>
    </w:p>
    <w:p w14:paraId="2F7EF3C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2.</w:t>
      </w:r>
      <w:r>
        <w:rPr>
          <w:rFonts w:hint="eastAsia" w:ascii="楷体_GB2312" w:hAnsi="楷体_GB2312" w:eastAsia="楷体_GB2312" w:cs="楷体_GB2312"/>
          <w:b/>
          <w:bCs/>
          <w:sz w:val="32"/>
          <w:szCs w:val="32"/>
        </w:rPr>
        <w:t>推进数字孪生工程建设</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积极推动新建水利工程与数字孪生工程同步规划、同步建设、同步交付。实施大中型水库数字孪生建设工程，灌区数字孪生管理平台建设工程，实现水利工程全生命周期数字化管理。依托政务云平台搭建数字孪生水网综合管理平台，统筹推进水利数据治理、数据底板建设与模型平台搭建，实现洪涝安全精准管控、河湖全域综合监管、水资源科学合理调配，全面支撑水网高效运行。</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794"/>
      </w:tblGrid>
      <w:tr w14:paraId="127BE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794" w:type="dxa"/>
            <w:tcBorders>
              <w:top w:val="single" w:color="auto" w:sz="4" w:space="0"/>
              <w:left w:val="single" w:color="auto" w:sz="4" w:space="0"/>
              <w:bottom w:val="single" w:color="auto" w:sz="4" w:space="0"/>
              <w:right w:val="single" w:color="auto" w:sz="4" w:space="0"/>
            </w:tcBorders>
            <w:shd w:val="clear" w:color="auto" w:fill="auto"/>
            <w:vAlign w:val="top"/>
          </w:tcPr>
          <w:p w14:paraId="4DA40904">
            <w:pPr>
              <w:keepNext w:val="0"/>
              <w:keepLines w:val="0"/>
              <w:widowControl w:val="0"/>
              <w:suppressLineNumbers w:val="0"/>
              <w:autoSpaceDE w:val="0"/>
              <w:autoSpaceDN/>
              <w:spacing w:before="0" w:beforeAutospacing="0" w:after="0" w:afterAutospacing="0" w:line="360" w:lineRule="auto"/>
              <w:ind w:left="0" w:right="0"/>
              <w:jc w:val="center"/>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专栏 5 数字孪生水利建设项目</w:t>
            </w:r>
          </w:p>
        </w:tc>
      </w:tr>
      <w:tr w14:paraId="7E96A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4" w:type="dxa"/>
            <w:tcBorders>
              <w:top w:val="single" w:color="auto" w:sz="4" w:space="0"/>
              <w:left w:val="single" w:color="auto" w:sz="4" w:space="0"/>
              <w:bottom w:val="single" w:color="auto" w:sz="4" w:space="0"/>
              <w:right w:val="single" w:color="auto" w:sz="4" w:space="0"/>
            </w:tcBorders>
            <w:shd w:val="clear" w:color="auto" w:fill="auto"/>
            <w:vAlign w:val="top"/>
          </w:tcPr>
          <w:p w14:paraId="2F0DD18D">
            <w:pPr>
              <w:keepNext w:val="0"/>
              <w:keepLines w:val="0"/>
              <w:widowControl w:val="0"/>
              <w:suppressLineNumbers w:val="0"/>
              <w:autoSpaceDE w:val="0"/>
              <w:autoSpaceDN/>
              <w:spacing w:before="0" w:beforeAutospacing="0" w:after="0" w:afterAutospacing="0" w:line="360" w:lineRule="auto"/>
              <w:ind w:left="0" w:right="0"/>
              <w:jc w:val="both"/>
              <w:rPr>
                <w:rFonts w:hint="default" w:ascii="仿宋_GB2312" w:hAnsi="Calibri" w:eastAsia="仿宋_GB2312" w:cs="仿宋_GB2312"/>
                <w:kern w:val="2"/>
                <w:sz w:val="32"/>
                <w:szCs w:val="32"/>
                <w:lang w:val="en-US" w:eastAsia="zh-CN" w:bidi="ar"/>
              </w:rPr>
            </w:pPr>
            <w:r>
              <w:rPr>
                <w:rFonts w:hint="eastAsia" w:ascii="仿宋_GB2312" w:hAnsi="Calibri" w:eastAsia="仿宋_GB2312" w:cs="仿宋_GB2312"/>
                <w:kern w:val="2"/>
                <w:sz w:val="32"/>
                <w:szCs w:val="32"/>
                <w:lang w:val="en-US" w:eastAsia="zh-CN" w:bidi="ar"/>
              </w:rPr>
              <w:t>1.水文监测能力提升工程:改建白沙水白沙水文站、那扶河那扶水文站，新建新昌水坂潭、石花、斗山河斗山水位站、新松水库水位站，新建中型水库入库、出库水文站各11个</w:t>
            </w:r>
          </w:p>
          <w:p w14:paraId="5DBACE06">
            <w:pPr>
              <w:keepNext w:val="0"/>
              <w:keepLines w:val="0"/>
              <w:widowControl w:val="0"/>
              <w:suppressLineNumbers w:val="0"/>
              <w:autoSpaceDE w:val="0"/>
              <w:autoSpaceDN/>
              <w:spacing w:before="0" w:beforeAutospacing="0" w:after="0" w:afterAutospacing="0" w:line="360" w:lineRule="auto"/>
              <w:ind w:left="0" w:right="0"/>
              <w:jc w:val="both"/>
              <w:rPr>
                <w:rFonts w:hint="default" w:ascii="仿宋_GB2312" w:eastAsia="仿宋_GB2312" w:cs="仿宋_GB2312"/>
                <w:kern w:val="2"/>
                <w:sz w:val="32"/>
                <w:szCs w:val="32"/>
                <w:lang w:val="en-US"/>
              </w:rPr>
            </w:pPr>
            <w:r>
              <w:rPr>
                <w:rFonts w:hint="eastAsia" w:ascii="仿宋_GB2312" w:hAnsi="Calibri" w:eastAsia="仿宋_GB2312" w:cs="仿宋_GB2312"/>
                <w:kern w:val="2"/>
                <w:sz w:val="32"/>
                <w:szCs w:val="32"/>
                <w:lang w:val="en-US" w:eastAsia="zh-CN" w:bidi="ar"/>
              </w:rPr>
              <w:t>2.水利工程感知能力及配套水文设施建设:实施水利工程安全监测设施建设项目</w:t>
            </w:r>
          </w:p>
        </w:tc>
      </w:tr>
    </w:tbl>
    <w:p w14:paraId="6D2E8E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0064FC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深化水利重点领域改革</w:t>
      </w:r>
    </w:p>
    <w:p w14:paraId="1066E5C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1.</w:t>
      </w:r>
      <w:r>
        <w:rPr>
          <w:rFonts w:hint="eastAsia" w:ascii="楷体_GB2312" w:hAnsi="楷体_GB2312" w:eastAsia="楷体_GB2312" w:cs="楷体_GB2312"/>
          <w:b/>
          <w:bCs/>
          <w:sz w:val="32"/>
          <w:szCs w:val="32"/>
        </w:rPr>
        <w:t>健全重大水利工程建设、运行、管理体制机制</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推进水利工程全生命周期监管，压实各方主体责任，创新工程运管模式机制，完善建设、运行、管理模式，健全工程质量管理体系。强化水利工程建设监管，推行专业化工程建设运行模式，推进数字孪生工地建设，完善技术标准体系，推行项目法人建档立卡。强化水利工程运行监管，全面落实工程运行分级安全管理责任制，建立健全常态化除险加固和设施运维管护机制，全面推行安全运行管理标准化。强化水利工程智慧化管护，运用先进技术打造智慧化管护服务平台，完善管护机制，提升管护人员素质，搭建公众监督反馈信息模块。</w:t>
      </w:r>
    </w:p>
    <w:p w14:paraId="57B8F2A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2.</w:t>
      </w:r>
      <w:r>
        <w:rPr>
          <w:rFonts w:hint="eastAsia" w:ascii="楷体_GB2312" w:hAnsi="楷体_GB2312" w:eastAsia="楷体_GB2312" w:cs="楷体_GB2312"/>
          <w:b/>
          <w:bCs/>
          <w:sz w:val="32"/>
          <w:szCs w:val="32"/>
        </w:rPr>
        <w:t>深化水利投融资改革</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创新投融资模式，充分利用超长期特别国债、地方政府专项债券、金融信贷资金，运用政府和社会资本合作（PPP）新机制，</w:t>
      </w:r>
      <w:r>
        <w:rPr>
          <w:rFonts w:hint="eastAsia" w:ascii="方正仿宋_GB2312" w:hAnsi="方正仿宋_GB2312" w:eastAsia="方正仿宋_GB2312" w:cs="方正仿宋_GB2312"/>
          <w:sz w:val="32"/>
          <w:szCs w:val="32"/>
          <w:lang w:eastAsia="zh-CN"/>
        </w:rPr>
        <w:t>活用</w:t>
      </w:r>
      <w:r>
        <w:rPr>
          <w:rFonts w:hint="eastAsia" w:ascii="方正仿宋_GB2312" w:hAnsi="方正仿宋_GB2312" w:eastAsia="方正仿宋_GB2312" w:cs="方正仿宋_GB2312"/>
          <w:sz w:val="32"/>
          <w:szCs w:val="32"/>
          <w:lang w:val="en-US" w:eastAsia="zh-CN"/>
        </w:rPr>
        <w:t>WOD</w:t>
      </w:r>
      <w:r>
        <w:rPr>
          <w:rFonts w:hint="eastAsia" w:ascii="方正仿宋_GB2312" w:hAnsi="方正仿宋_GB2312" w:eastAsia="方正仿宋_GB2312" w:cs="方正仿宋_GB2312"/>
          <w:sz w:val="32"/>
          <w:szCs w:val="32"/>
        </w:rPr>
        <w:t>等模式，鼓励和吸引更多社会资本参与水利基础设施建设。探索水利基础设施投资信托基金（REITs）试点，盘活存量水利资产。聚焦关键环节和领域，加大绿色水金融产品创新力度，推广“节水贷”“取水贷”等绿色金融模式，支持绿色债券发行，拓宽水利建设资金渠道。</w:t>
      </w:r>
    </w:p>
    <w:p w14:paraId="49C220E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3.</w:t>
      </w:r>
      <w:r>
        <w:rPr>
          <w:rFonts w:hint="eastAsia" w:ascii="楷体_GB2312" w:hAnsi="楷体_GB2312" w:eastAsia="楷体_GB2312" w:cs="楷体_GB2312"/>
          <w:b/>
          <w:bCs/>
          <w:sz w:val="32"/>
          <w:szCs w:val="32"/>
        </w:rPr>
        <w:t>健全水生态产品价值实现机制</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配合推进水资源价格形成机制改革，优化完善水资源费、工程水费、自来水费定价机制，加快完善水价动态调整机制。配合推行水资源费改税，建立科学合理的税费收入分级分成制度。深入推进农业水价综合改革，建立健全相关机制。大力推广合同节水管理机制，建立节水转换水价核算体系。完善水土保持和水生态保护补偿制度，利用治水成果发展多元化水经济新业态，挖掘水生态产品价值。</w:t>
      </w:r>
    </w:p>
    <w:p w14:paraId="5BC089F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4.</w:t>
      </w:r>
      <w:r>
        <w:rPr>
          <w:rFonts w:hint="eastAsia" w:ascii="楷体_GB2312" w:hAnsi="楷体_GB2312" w:eastAsia="楷体_GB2312" w:cs="楷体_GB2312"/>
          <w:b/>
          <w:bCs/>
          <w:sz w:val="32"/>
          <w:szCs w:val="32"/>
        </w:rPr>
        <w:t>落实水资源刚性约束制度</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实行最严格水资源管理制度考核，严格实行用水总量和强度双控，对各领域用水指标进行科学分解与动态监管。强化水资源论证与取水许可管理，将水资源承载能力作为产业布局、城乡建设的重要依据。深入实施节水行动，构建全流程精细化管控体系。深化农业用水权改革，推进用水权改革配套制度落地见效，加快推进各类用水权交易开展,加强改革成效宣贯和宣传,形成一套可借鉴可推广的用水权改革台山经验。完善监测预警机制，依托信息化平台实时监控水资源开发利用情况，及时预警并采取措施。</w:t>
      </w:r>
    </w:p>
    <w:p w14:paraId="3FCEAF5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5.</w:t>
      </w:r>
      <w:r>
        <w:rPr>
          <w:rFonts w:hint="eastAsia" w:ascii="楷体_GB2312" w:hAnsi="楷体_GB2312" w:eastAsia="楷体_GB2312" w:cs="楷体_GB2312"/>
          <w:b/>
          <w:bCs/>
          <w:sz w:val="32"/>
          <w:szCs w:val="32"/>
        </w:rPr>
        <w:t>全面强化河湖长制</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健全完善河湖长制考核机制，层层压实各级河长责任。建立健全激励机制，压实完善“一河一策”治理方案。探索建立跨界河道联防联治机制，提升“流域+区域”协同治理水平。运用先进技术实现河湖动态监管全覆盖，持续落实河道、水库常态化保洁、河道非法采砂监管机制。建立健全公众参与机制，鼓励志愿者、民间河长加入河湖管护队伍，强化宣传引导，推动河湖长制从“有名”向“有实”“有能”“有效”转变。</w:t>
      </w:r>
    </w:p>
    <w:p w14:paraId="2D70592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6.</w:t>
      </w:r>
      <w:r>
        <w:rPr>
          <w:rFonts w:hint="eastAsia" w:ascii="楷体_GB2312" w:hAnsi="楷体_GB2312" w:eastAsia="楷体_GB2312" w:cs="楷体_GB2312"/>
          <w:b/>
          <w:bCs/>
          <w:sz w:val="32"/>
          <w:szCs w:val="32"/>
        </w:rPr>
        <w:t>健全水利新质生产力发展机制</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推进打造高技术、高效能、高质量的水利新质生产力，建立健全技术、人才、制度等保障机制。强化水利科技创新引领，加强关键技术攻关研发和重大水利科技问题研究，推广应用AI人工智能、数字孪生等新技术。实施水利人才发展工程，推进人才引进及培育，畅通人才流通渠道，强化基层专业技术人才培养。深化体制机制改革，完善水利科技创新激励机制，以机制创新驱动水利新质生产力发展。</w:t>
      </w:r>
    </w:p>
    <w:p w14:paraId="09CC429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7.</w:t>
      </w:r>
      <w:r>
        <w:rPr>
          <w:rFonts w:hint="eastAsia" w:ascii="楷体_GB2312" w:hAnsi="楷体_GB2312" w:eastAsia="楷体_GB2312" w:cs="楷体_GB2312"/>
          <w:b/>
          <w:bCs/>
          <w:sz w:val="32"/>
          <w:szCs w:val="32"/>
        </w:rPr>
        <w:t>完善水治理体制机制法治体系建设</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完善水利法规体系，坚持立改废释并举，加快制定和修订涉水地方性法规，完善重点领域指导性配套制度和政策。提高依法治水水平，严格执法监管和执法力度，加大对重点领域涉水违法行为的惩处力度。加强水政执法队伍建设，强化执法与刑事司法衔接，建立健全执法机制，推进多部门联合执法。加强法治宣传教育，提升全社会水法治意识。</w:t>
      </w:r>
    </w:p>
    <w:p w14:paraId="522A751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lang w:val="en-US" w:eastAsia="zh-CN"/>
        </w:rPr>
        <w:t>8.</w:t>
      </w:r>
      <w:r>
        <w:rPr>
          <w:rFonts w:hint="eastAsia" w:ascii="楷体_GB2312" w:hAnsi="楷体_GB2312" w:eastAsia="楷体_GB2312" w:cs="楷体_GB2312"/>
          <w:b/>
          <w:bCs/>
          <w:sz w:val="32"/>
          <w:szCs w:val="32"/>
        </w:rPr>
        <w:t>完善水利基本公共服务制度体系</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聚焦民生水利问题，构建多层次、广覆盖的公共服务制度体系。建立城乡一体化供水保障制度，推进农村供水提质增效工程，完善水质监测和应急供水机制。构建水生态公共服务制度，加强河湖生态修复与保护，建设亲水便民设施，发展水文化科普教育。通过完善投入保障、绩效评估、监督考核等配套制度，推动水利基本公共服务均等化、标准化、优质化。</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794"/>
      </w:tblGrid>
      <w:tr w14:paraId="16B0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794" w:type="dxa"/>
            <w:tcBorders>
              <w:top w:val="single" w:color="auto" w:sz="4" w:space="0"/>
              <w:left w:val="single" w:color="auto" w:sz="4" w:space="0"/>
              <w:bottom w:val="single" w:color="auto" w:sz="4" w:space="0"/>
              <w:right w:val="single" w:color="auto" w:sz="4" w:space="0"/>
            </w:tcBorders>
            <w:shd w:val="clear" w:color="auto" w:fill="auto"/>
            <w:vAlign w:val="top"/>
          </w:tcPr>
          <w:p w14:paraId="1F5A879D">
            <w:pPr>
              <w:keepNext w:val="0"/>
              <w:keepLines w:val="0"/>
              <w:widowControl w:val="0"/>
              <w:suppressLineNumbers w:val="0"/>
              <w:autoSpaceDE w:val="0"/>
              <w:autoSpaceDN/>
              <w:spacing w:before="0" w:beforeAutospacing="0" w:after="0" w:afterAutospacing="0" w:line="360" w:lineRule="auto"/>
              <w:ind w:left="0" w:right="0"/>
              <w:jc w:val="center"/>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专栏 6 深化水利重点领域改革建设任务</w:t>
            </w:r>
          </w:p>
        </w:tc>
      </w:tr>
      <w:tr w14:paraId="6354E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8794" w:type="dxa"/>
            <w:tcBorders>
              <w:top w:val="single" w:color="auto" w:sz="4" w:space="0"/>
              <w:left w:val="single" w:color="auto" w:sz="4" w:space="0"/>
              <w:bottom w:val="single" w:color="auto" w:sz="4" w:space="0"/>
              <w:right w:val="single" w:color="auto" w:sz="4" w:space="0"/>
            </w:tcBorders>
            <w:shd w:val="clear" w:color="auto" w:fill="auto"/>
            <w:vAlign w:val="top"/>
          </w:tcPr>
          <w:p w14:paraId="5102B52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20" w:lineRule="exact"/>
              <w:ind w:left="0" w:right="0"/>
              <w:jc w:val="both"/>
              <w:textAlignment w:val="auto"/>
              <w:rPr>
                <w:rFonts w:hint="eastAsia" w:ascii="仿宋_GB2312" w:hAnsi="Calibri" w:eastAsia="仿宋_GB2312" w:cs="仿宋_GB2312"/>
                <w:kern w:val="2"/>
                <w:sz w:val="32"/>
                <w:szCs w:val="32"/>
                <w:lang w:val="en-US" w:eastAsia="zh-CN" w:bidi="ar"/>
              </w:rPr>
            </w:pPr>
            <w:r>
              <w:rPr>
                <w:rFonts w:hint="eastAsia" w:ascii="仿宋_GB2312" w:hAnsi="Calibri" w:eastAsia="仿宋_GB2312" w:cs="仿宋_GB2312"/>
                <w:kern w:val="2"/>
                <w:sz w:val="32"/>
                <w:szCs w:val="32"/>
                <w:lang w:val="en-US" w:eastAsia="zh-CN" w:bidi="ar"/>
              </w:rPr>
              <w:t>1.重要河湖生态流量保障：开展斗山河、深井水两宗生态流量保障工程。</w:t>
            </w:r>
          </w:p>
          <w:p w14:paraId="45DF21D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20" w:lineRule="exact"/>
              <w:ind w:left="0" w:right="0"/>
              <w:jc w:val="both"/>
              <w:textAlignment w:val="auto"/>
              <w:rPr>
                <w:rFonts w:hint="eastAsia" w:ascii="仿宋_GB2312" w:hAnsi="Calibri" w:eastAsia="仿宋_GB2312" w:cs="仿宋_GB2312"/>
                <w:kern w:val="2"/>
                <w:sz w:val="32"/>
                <w:szCs w:val="32"/>
                <w:lang w:val="en-US" w:eastAsia="zh-CN" w:bidi="ar"/>
              </w:rPr>
            </w:pPr>
            <w:r>
              <w:rPr>
                <w:rFonts w:hint="eastAsia" w:ascii="仿宋_GB2312" w:hAnsi="Calibri" w:eastAsia="仿宋_GB2312" w:cs="仿宋_GB2312"/>
                <w:kern w:val="2"/>
                <w:sz w:val="32"/>
                <w:szCs w:val="32"/>
                <w:lang w:val="en-US" w:eastAsia="zh-CN" w:bidi="ar"/>
              </w:rPr>
              <w:t>2.河湖管护项目。持续开展河湖日常管护工作。</w:t>
            </w:r>
          </w:p>
          <w:p w14:paraId="06BA6410">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20" w:lineRule="exact"/>
              <w:ind w:left="0" w:right="0"/>
              <w:jc w:val="both"/>
              <w:textAlignment w:val="auto"/>
              <w:rPr>
                <w:rFonts w:hint="eastAsia" w:ascii="仿宋_GB2312" w:eastAsia="仿宋_GB2312" w:cs="仿宋_GB2312"/>
                <w:kern w:val="2"/>
                <w:sz w:val="32"/>
                <w:szCs w:val="32"/>
              </w:rPr>
            </w:pPr>
            <w:r>
              <w:rPr>
                <w:rFonts w:hint="eastAsia" w:ascii="仿宋_GB2312" w:hAnsi="Calibri" w:eastAsia="仿宋_GB2312" w:cs="仿宋_GB2312"/>
                <w:kern w:val="2"/>
                <w:sz w:val="32"/>
                <w:szCs w:val="32"/>
                <w:lang w:val="en-US" w:eastAsia="zh-CN" w:bidi="ar"/>
              </w:rPr>
              <w:t>3.水土保持监管：持续开展生产建设项目扰动图斑现场复核，完成上级下达年度水土流失治理任务。</w:t>
            </w:r>
          </w:p>
        </w:tc>
      </w:tr>
    </w:tbl>
    <w:p w14:paraId="11CD7E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p>
    <w:p w14:paraId="3ED9D9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、投资匡算与实施安排</w:t>
      </w:r>
    </w:p>
    <w:p w14:paraId="22E77E0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（一）项目遴选</w:t>
      </w:r>
    </w:p>
    <w:p w14:paraId="38405D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按照水安全保障“十五五”规划目标任务，遵循“确有需要、生态安全、可以持续”的原则，综合考虑规划依据、开发利用条件、建设条件、前期工作基础等因素，遴选确定防洪能力提升工程、水资源配置及保障工程、乡村振兴水利基础工程、水生态保护与修复工程、数字孪生水利工程</w:t>
      </w:r>
      <w:r>
        <w:rPr>
          <w:rFonts w:hint="eastAsia" w:ascii="方正仿宋_GB2312" w:hAnsi="方正仿宋_GB2312" w:eastAsia="方正仿宋_GB2312" w:cs="方正仿宋_GB2312"/>
          <w:sz w:val="32"/>
          <w:szCs w:val="32"/>
          <w:lang w:eastAsia="zh-CN"/>
        </w:rPr>
        <w:t>、深化水利重点领域改革</w:t>
      </w:r>
      <w:r>
        <w:rPr>
          <w:rFonts w:hint="eastAsia" w:ascii="方正仿宋_GB2312" w:hAnsi="方正仿宋_GB2312" w:eastAsia="方正仿宋_GB2312" w:cs="方正仿宋_GB2312"/>
          <w:sz w:val="32"/>
          <w:szCs w:val="32"/>
        </w:rPr>
        <w:t>等</w:t>
      </w:r>
      <w:r>
        <w:rPr>
          <w:rFonts w:hint="eastAsia" w:ascii="方正仿宋_GB2312" w:hAnsi="方正仿宋_GB2312" w:eastAsia="方正仿宋_GB2312" w:cs="方正仿宋_GB2312"/>
          <w:sz w:val="32"/>
          <w:szCs w:val="32"/>
          <w:lang w:eastAsia="zh-CN"/>
        </w:rPr>
        <w:t>六</w:t>
      </w:r>
      <w:r>
        <w:rPr>
          <w:rFonts w:hint="eastAsia" w:ascii="方正仿宋_GB2312" w:hAnsi="方正仿宋_GB2312" w:eastAsia="方正仿宋_GB2312" w:cs="方正仿宋_GB2312"/>
          <w:sz w:val="32"/>
          <w:szCs w:val="32"/>
        </w:rPr>
        <w:t>大类水利建设项目，共计</w:t>
      </w:r>
      <w:r>
        <w:rPr>
          <w:rFonts w:hint="eastAsia" w:ascii="方正仿宋_GB2312" w:hAnsi="方正仿宋_GB2312" w:eastAsia="方正仿宋_GB2312" w:cs="方正仿宋_GB2312"/>
          <w:sz w:val="32"/>
          <w:szCs w:val="32"/>
          <w:lang w:val="en-US" w:eastAsia="zh-CN"/>
        </w:rPr>
        <w:t>43</w:t>
      </w:r>
      <w:r>
        <w:rPr>
          <w:rFonts w:hint="eastAsia" w:ascii="方正仿宋_GB2312" w:hAnsi="方正仿宋_GB2312" w:eastAsia="方正仿宋_GB2312" w:cs="方正仿宋_GB2312"/>
          <w:sz w:val="32"/>
          <w:szCs w:val="32"/>
        </w:rPr>
        <w:t>项。其中台山市水利“十五五”规划重大项目为：烽火角水闸除险加固工程和台山市广海湾灌区续建配套与现代化改造工程。项目总投资为31.42亿元，其中“十五五”期间计划投资7.09亿元，占“十五五”投资</w:t>
      </w:r>
      <w:r>
        <w:rPr>
          <w:rFonts w:hint="eastAsia" w:ascii="方正仿宋_GB2312" w:hAnsi="方正仿宋_GB2312" w:eastAsia="方正仿宋_GB2312" w:cs="方正仿宋_GB2312"/>
          <w:sz w:val="32"/>
          <w:szCs w:val="32"/>
          <w:lang w:val="en-US" w:eastAsia="zh-CN"/>
        </w:rPr>
        <w:t>43.28</w:t>
      </w:r>
      <w:r>
        <w:rPr>
          <w:rFonts w:hint="eastAsia" w:ascii="方正仿宋_GB2312" w:hAnsi="方正仿宋_GB2312" w:eastAsia="方正仿宋_GB2312" w:cs="方正仿宋_GB2312"/>
          <w:sz w:val="32"/>
          <w:szCs w:val="32"/>
        </w:rPr>
        <w:t>亿元的</w:t>
      </w:r>
      <w:r>
        <w:rPr>
          <w:rFonts w:hint="eastAsia" w:ascii="方正仿宋_GB2312" w:hAnsi="方正仿宋_GB2312" w:eastAsia="方正仿宋_GB2312" w:cs="方正仿宋_GB2312"/>
          <w:sz w:val="32"/>
          <w:szCs w:val="32"/>
          <w:lang w:val="en-US" w:eastAsia="zh-CN"/>
        </w:rPr>
        <w:t>16.4</w:t>
      </w:r>
      <w:r>
        <w:rPr>
          <w:rFonts w:hint="eastAsia" w:ascii="方正仿宋_GB2312" w:hAnsi="方正仿宋_GB2312" w:eastAsia="方正仿宋_GB2312" w:cs="方正仿宋_GB2312"/>
          <w:sz w:val="32"/>
          <w:szCs w:val="32"/>
        </w:rPr>
        <w:t>%。</w:t>
      </w:r>
    </w:p>
    <w:p w14:paraId="3C41D6F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（二）投资匡算</w:t>
      </w:r>
    </w:p>
    <w:p w14:paraId="0B42B1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规划涉及项目共</w:t>
      </w:r>
      <w:r>
        <w:rPr>
          <w:rFonts w:hint="eastAsia" w:ascii="方正仿宋_GB2312" w:hAnsi="方正仿宋_GB2312" w:eastAsia="方正仿宋_GB2312" w:cs="方正仿宋_GB2312"/>
          <w:sz w:val="32"/>
          <w:szCs w:val="32"/>
          <w:lang w:val="en-US" w:eastAsia="zh-CN"/>
        </w:rPr>
        <w:t>43</w:t>
      </w:r>
      <w:r>
        <w:rPr>
          <w:rFonts w:hint="eastAsia" w:ascii="方正仿宋_GB2312" w:hAnsi="方正仿宋_GB2312" w:eastAsia="方正仿宋_GB2312" w:cs="方正仿宋_GB2312"/>
          <w:sz w:val="32"/>
          <w:szCs w:val="32"/>
        </w:rPr>
        <w:t>项，总投资</w:t>
      </w:r>
      <w:r>
        <w:rPr>
          <w:rFonts w:hint="eastAsia" w:ascii="方正仿宋_GB2312" w:hAnsi="方正仿宋_GB2312" w:eastAsia="方正仿宋_GB2312" w:cs="方正仿宋_GB2312"/>
          <w:sz w:val="32"/>
          <w:szCs w:val="32"/>
          <w:lang w:val="en-US" w:eastAsia="zh-CN"/>
        </w:rPr>
        <w:t>83.79</w:t>
      </w:r>
      <w:r>
        <w:rPr>
          <w:rFonts w:hint="eastAsia" w:ascii="方正仿宋_GB2312" w:hAnsi="方正仿宋_GB2312" w:eastAsia="方正仿宋_GB2312" w:cs="方正仿宋_GB2312"/>
          <w:sz w:val="32"/>
          <w:szCs w:val="32"/>
        </w:rPr>
        <w:t>亿元，“十五五”期间投资</w:t>
      </w:r>
      <w:r>
        <w:rPr>
          <w:rFonts w:hint="eastAsia" w:ascii="方正仿宋_GB2312" w:hAnsi="方正仿宋_GB2312" w:eastAsia="方正仿宋_GB2312" w:cs="方正仿宋_GB2312"/>
          <w:sz w:val="32"/>
          <w:szCs w:val="32"/>
          <w:lang w:val="en-US" w:eastAsia="zh-CN"/>
        </w:rPr>
        <w:t>43.28</w:t>
      </w:r>
      <w:r>
        <w:rPr>
          <w:rFonts w:hint="eastAsia" w:ascii="方正仿宋_GB2312" w:hAnsi="方正仿宋_GB2312" w:eastAsia="方正仿宋_GB2312" w:cs="方正仿宋_GB2312"/>
          <w:sz w:val="32"/>
          <w:szCs w:val="32"/>
        </w:rPr>
        <w:t>亿元，按不同建设任务分类，防洪能力提升工程投资</w:t>
      </w:r>
      <w:r>
        <w:rPr>
          <w:rFonts w:hint="eastAsia" w:ascii="方正仿宋_GB2312" w:hAnsi="方正仿宋_GB2312" w:eastAsia="方正仿宋_GB2312" w:cs="方正仿宋_GB2312"/>
          <w:sz w:val="32"/>
          <w:szCs w:val="32"/>
          <w:lang w:val="en-US" w:eastAsia="zh-CN"/>
        </w:rPr>
        <w:t>23.45</w:t>
      </w:r>
      <w:r>
        <w:rPr>
          <w:rFonts w:hint="eastAsia" w:ascii="方正仿宋_GB2312" w:hAnsi="方正仿宋_GB2312" w:eastAsia="方正仿宋_GB2312" w:cs="方正仿宋_GB2312"/>
          <w:sz w:val="32"/>
          <w:szCs w:val="32"/>
        </w:rPr>
        <w:t>亿元，占“十五五”投资规模</w:t>
      </w:r>
      <w:r>
        <w:rPr>
          <w:rFonts w:hint="eastAsia" w:ascii="方正仿宋_GB2312" w:hAnsi="方正仿宋_GB2312" w:eastAsia="方正仿宋_GB2312" w:cs="方正仿宋_GB2312"/>
          <w:sz w:val="32"/>
          <w:szCs w:val="32"/>
          <w:lang w:val="en-US" w:eastAsia="zh-CN"/>
        </w:rPr>
        <w:t>43.28</w:t>
      </w:r>
      <w:r>
        <w:rPr>
          <w:rFonts w:hint="eastAsia" w:ascii="方正仿宋_GB2312" w:hAnsi="方正仿宋_GB2312" w:eastAsia="方正仿宋_GB2312" w:cs="方正仿宋_GB2312"/>
          <w:sz w:val="32"/>
          <w:szCs w:val="32"/>
        </w:rPr>
        <w:t>亿元的</w:t>
      </w:r>
      <w:r>
        <w:rPr>
          <w:rFonts w:hint="eastAsia" w:ascii="方正仿宋_GB2312" w:hAnsi="方正仿宋_GB2312" w:eastAsia="方正仿宋_GB2312" w:cs="方正仿宋_GB2312"/>
          <w:sz w:val="32"/>
          <w:szCs w:val="32"/>
          <w:lang w:val="en-US" w:eastAsia="zh-CN"/>
        </w:rPr>
        <w:t>54.2</w:t>
      </w:r>
      <w:r>
        <w:rPr>
          <w:rFonts w:hint="eastAsia" w:ascii="方正仿宋_GB2312" w:hAnsi="方正仿宋_GB2312" w:eastAsia="方正仿宋_GB2312" w:cs="方正仿宋_GB2312"/>
          <w:sz w:val="32"/>
          <w:szCs w:val="32"/>
        </w:rPr>
        <w:t>%；水资源配置及保障工程投资</w:t>
      </w:r>
      <w:r>
        <w:rPr>
          <w:rFonts w:hint="eastAsia" w:ascii="方正仿宋_GB2312" w:hAnsi="方正仿宋_GB2312" w:eastAsia="方正仿宋_GB2312" w:cs="方正仿宋_GB2312"/>
          <w:sz w:val="32"/>
          <w:szCs w:val="32"/>
          <w:lang w:val="en-US" w:eastAsia="zh-CN"/>
        </w:rPr>
        <w:t>5.44</w:t>
      </w:r>
      <w:r>
        <w:rPr>
          <w:rFonts w:hint="eastAsia" w:ascii="方正仿宋_GB2312" w:hAnsi="方正仿宋_GB2312" w:eastAsia="方正仿宋_GB2312" w:cs="方正仿宋_GB2312"/>
          <w:sz w:val="32"/>
          <w:szCs w:val="32"/>
        </w:rPr>
        <w:t>亿元，占</w:t>
      </w:r>
      <w:r>
        <w:rPr>
          <w:rFonts w:hint="eastAsia" w:ascii="方正仿宋_GB2312" w:hAnsi="方正仿宋_GB2312" w:eastAsia="方正仿宋_GB2312" w:cs="方正仿宋_GB2312"/>
          <w:sz w:val="32"/>
          <w:szCs w:val="32"/>
          <w:lang w:val="en-US" w:eastAsia="zh-CN"/>
        </w:rPr>
        <w:t>12.6</w:t>
      </w:r>
      <w:r>
        <w:rPr>
          <w:rFonts w:hint="eastAsia" w:ascii="方正仿宋_GB2312" w:hAnsi="方正仿宋_GB2312" w:eastAsia="方正仿宋_GB2312" w:cs="方正仿宋_GB2312"/>
          <w:sz w:val="32"/>
          <w:szCs w:val="32"/>
        </w:rPr>
        <w:t>%；乡村振兴水利基础工程投资</w:t>
      </w:r>
      <w:r>
        <w:rPr>
          <w:rFonts w:hint="eastAsia" w:ascii="方正仿宋_GB2312" w:hAnsi="方正仿宋_GB2312" w:eastAsia="方正仿宋_GB2312" w:cs="方正仿宋_GB2312"/>
          <w:sz w:val="32"/>
          <w:szCs w:val="32"/>
          <w:lang w:val="en-US" w:eastAsia="zh-CN"/>
        </w:rPr>
        <w:t>9.09</w:t>
      </w:r>
      <w:r>
        <w:rPr>
          <w:rFonts w:hint="eastAsia" w:ascii="方正仿宋_GB2312" w:hAnsi="方正仿宋_GB2312" w:eastAsia="方正仿宋_GB2312" w:cs="方正仿宋_GB2312"/>
          <w:sz w:val="32"/>
          <w:szCs w:val="32"/>
        </w:rPr>
        <w:t>亿元，占</w:t>
      </w:r>
      <w:r>
        <w:rPr>
          <w:rFonts w:hint="eastAsia" w:ascii="方正仿宋_GB2312" w:hAnsi="方正仿宋_GB2312" w:eastAsia="方正仿宋_GB2312" w:cs="方正仿宋_GB2312"/>
          <w:sz w:val="32"/>
          <w:szCs w:val="32"/>
          <w:lang w:val="en-US" w:eastAsia="zh-CN"/>
        </w:rPr>
        <w:t>21.0</w:t>
      </w:r>
      <w:r>
        <w:rPr>
          <w:rFonts w:hint="eastAsia" w:ascii="方正仿宋_GB2312" w:hAnsi="方正仿宋_GB2312" w:eastAsia="方正仿宋_GB2312" w:cs="方正仿宋_GB2312"/>
          <w:sz w:val="32"/>
          <w:szCs w:val="32"/>
        </w:rPr>
        <w:t>%；水生态保护与</w:t>
      </w:r>
      <w:r>
        <w:rPr>
          <w:rFonts w:hint="eastAsia" w:ascii="方正仿宋_GB2312" w:hAnsi="方正仿宋_GB2312" w:eastAsia="方正仿宋_GB2312" w:cs="方正仿宋_GB2312"/>
          <w:sz w:val="32"/>
          <w:szCs w:val="32"/>
          <w:lang w:eastAsia="zh-CN"/>
        </w:rPr>
        <w:t>修复</w:t>
      </w:r>
      <w:r>
        <w:rPr>
          <w:rFonts w:hint="eastAsia" w:ascii="方正仿宋_GB2312" w:hAnsi="方正仿宋_GB2312" w:eastAsia="方正仿宋_GB2312" w:cs="方正仿宋_GB2312"/>
          <w:sz w:val="32"/>
          <w:szCs w:val="32"/>
        </w:rPr>
        <w:t>工程投资</w:t>
      </w:r>
      <w:r>
        <w:rPr>
          <w:rFonts w:hint="eastAsia" w:ascii="方正仿宋_GB2312" w:hAnsi="方正仿宋_GB2312" w:eastAsia="方正仿宋_GB2312" w:cs="方正仿宋_GB2312"/>
          <w:sz w:val="32"/>
          <w:szCs w:val="32"/>
          <w:lang w:val="en-US" w:eastAsia="zh-CN"/>
        </w:rPr>
        <w:t>4.68</w:t>
      </w:r>
      <w:r>
        <w:rPr>
          <w:rFonts w:hint="eastAsia" w:ascii="方正仿宋_GB2312" w:hAnsi="方正仿宋_GB2312" w:eastAsia="方正仿宋_GB2312" w:cs="方正仿宋_GB2312"/>
          <w:sz w:val="32"/>
          <w:szCs w:val="32"/>
        </w:rPr>
        <w:t>亿元，占</w:t>
      </w:r>
      <w:r>
        <w:rPr>
          <w:rFonts w:hint="eastAsia" w:ascii="方正仿宋_GB2312" w:hAnsi="方正仿宋_GB2312" w:eastAsia="方正仿宋_GB2312" w:cs="方正仿宋_GB2312"/>
          <w:sz w:val="32"/>
          <w:szCs w:val="32"/>
          <w:lang w:val="en-US" w:eastAsia="zh-CN"/>
        </w:rPr>
        <w:t>10.8</w:t>
      </w:r>
      <w:r>
        <w:rPr>
          <w:rFonts w:hint="eastAsia" w:ascii="方正仿宋_GB2312" w:hAnsi="方正仿宋_GB2312" w:eastAsia="方正仿宋_GB2312" w:cs="方正仿宋_GB2312"/>
          <w:sz w:val="32"/>
          <w:szCs w:val="32"/>
        </w:rPr>
        <w:t>%；数字孪生水利工程投资</w:t>
      </w:r>
      <w:r>
        <w:rPr>
          <w:rFonts w:hint="eastAsia" w:ascii="方正仿宋_GB2312" w:hAnsi="方正仿宋_GB2312" w:eastAsia="方正仿宋_GB2312" w:cs="方正仿宋_GB2312"/>
          <w:sz w:val="32"/>
          <w:szCs w:val="32"/>
          <w:lang w:val="en-US" w:eastAsia="zh-CN"/>
        </w:rPr>
        <w:t>0.50</w:t>
      </w:r>
      <w:r>
        <w:rPr>
          <w:rFonts w:hint="eastAsia" w:ascii="方正仿宋_GB2312" w:hAnsi="方正仿宋_GB2312" w:eastAsia="方正仿宋_GB2312" w:cs="方正仿宋_GB2312"/>
          <w:sz w:val="32"/>
          <w:szCs w:val="32"/>
        </w:rPr>
        <w:t>亿元，占</w:t>
      </w:r>
      <w:r>
        <w:rPr>
          <w:rFonts w:hint="eastAsia" w:ascii="方正仿宋_GB2312" w:hAnsi="方正仿宋_GB2312" w:eastAsia="方正仿宋_GB2312" w:cs="方正仿宋_GB2312"/>
          <w:sz w:val="32"/>
          <w:szCs w:val="32"/>
          <w:lang w:val="en-US" w:eastAsia="zh-CN"/>
        </w:rPr>
        <w:t>1.2</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eastAsia="zh-CN"/>
        </w:rPr>
        <w:t>；深化水利重点领域改革投资</w:t>
      </w:r>
      <w:r>
        <w:rPr>
          <w:rFonts w:hint="eastAsia" w:ascii="方正仿宋_GB2312" w:hAnsi="方正仿宋_GB2312" w:eastAsia="方正仿宋_GB2312" w:cs="方正仿宋_GB2312"/>
          <w:sz w:val="32"/>
          <w:szCs w:val="32"/>
          <w:lang w:val="en-US" w:eastAsia="zh-CN"/>
        </w:rPr>
        <w:t>0.12亿元，占0.3%</w:t>
      </w:r>
      <w:r>
        <w:rPr>
          <w:rFonts w:hint="eastAsia" w:ascii="方正仿宋_GB2312" w:hAnsi="方正仿宋_GB2312" w:eastAsia="方正仿宋_GB2312" w:cs="方正仿宋_GB2312"/>
          <w:sz w:val="32"/>
          <w:szCs w:val="32"/>
        </w:rPr>
        <w:t>。</w:t>
      </w:r>
    </w:p>
    <w:p w14:paraId="1526278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（三）实施安排</w:t>
      </w:r>
    </w:p>
    <w:p w14:paraId="550ED3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规划期内按照轻重缓急、前期工作进展、实施效果预期等因素，优先安排现状问题突出、工程效益显著、群众急难愁盼、没有重大制约因素的防洪减灾、区域水资源配置、农村水利、水生态保护与修复等重大民生水利项目。对于存在争议、存在一定生态环境和社会影响的工程，进一步加强前期研究论证，确保成熟一项、开工一项。明确责任分工与实施步骤，强化项目监管与评估调整机制，确保规划目标顺利实现。</w:t>
      </w:r>
    </w:p>
    <w:p w14:paraId="67E97B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、保障措施</w:t>
      </w:r>
    </w:p>
    <w:p w14:paraId="2C1E0D5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rPr>
        <w:t>（一）加强组织领导</w:t>
      </w:r>
      <w:r>
        <w:rPr>
          <w:rFonts w:hint="eastAsia" w:ascii="楷体_GB2312" w:hAnsi="楷体_GB2312" w:eastAsia="楷体_GB2312" w:cs="楷体_GB2312"/>
          <w:b/>
          <w:bCs/>
          <w:sz w:val="32"/>
          <w:szCs w:val="32"/>
          <w:lang w:val="en-US" w:eastAsia="zh-CN"/>
        </w:rPr>
        <w:t>。</w:t>
      </w:r>
      <w:r>
        <w:rPr>
          <w:rFonts w:hint="eastAsia" w:ascii="方正仿宋_GB2312" w:hAnsi="方正仿宋_GB2312" w:eastAsia="方正仿宋_GB2312" w:cs="方正仿宋_GB2312"/>
          <w:sz w:val="32"/>
          <w:szCs w:val="32"/>
        </w:rPr>
        <w:t>建立健全分工明确的责任体系，明确有关部门组织分工，水利部门牵头做好与相关部门和单位的协调沟通与衔接，及时研究、解决规划建设中的重大问题，落实好各项相关工作，系统推进规划实施。</w:t>
      </w:r>
    </w:p>
    <w:p w14:paraId="194F1A6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rPr>
        <w:t>（二）创新体制机制</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积极构建全链条治水管水机制，统筹各镇村建设、工业发展、农村治理等领域，推动涉水改革协同配合。建立河湖安全保护协作、跨部门跨镇域联合执法等体制机制，全面提升依法治水管理能力。</w:t>
      </w:r>
    </w:p>
    <w:p w14:paraId="1608D25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rPr>
        <w:t>（三）加强资金投入</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多元举措加强水</w:t>
      </w:r>
      <w:r>
        <w:rPr>
          <w:rFonts w:hint="eastAsia" w:ascii="方正仿宋_GB2312" w:hAnsi="方正仿宋_GB2312" w:eastAsia="方正仿宋_GB2312" w:cs="方正仿宋_GB2312"/>
          <w:sz w:val="32"/>
          <w:szCs w:val="32"/>
          <w:lang w:eastAsia="zh-CN"/>
        </w:rPr>
        <w:t>利</w:t>
      </w:r>
      <w:r>
        <w:rPr>
          <w:rFonts w:hint="eastAsia" w:ascii="方正仿宋_GB2312" w:hAnsi="方正仿宋_GB2312" w:eastAsia="方正仿宋_GB2312" w:cs="方正仿宋_GB2312"/>
          <w:sz w:val="32"/>
          <w:szCs w:val="32"/>
        </w:rPr>
        <w:t>工程资金投入，积极拓宽资金筹措渠道</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积极争取将规划重大项目纳入国家、省相关规划</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争取</w:t>
      </w:r>
      <w:r>
        <w:rPr>
          <w:rFonts w:hint="eastAsia" w:ascii="方正仿宋_GB2312" w:hAnsi="方正仿宋_GB2312" w:eastAsia="方正仿宋_GB2312" w:cs="方正仿宋_GB2312"/>
          <w:sz w:val="32"/>
          <w:szCs w:val="32"/>
          <w:lang w:eastAsia="zh-CN"/>
        </w:rPr>
        <w:t>中央、</w:t>
      </w:r>
      <w:r>
        <w:rPr>
          <w:rFonts w:hint="eastAsia" w:ascii="方正仿宋_GB2312" w:hAnsi="方正仿宋_GB2312" w:eastAsia="方正仿宋_GB2312" w:cs="方正仿宋_GB2312"/>
          <w:sz w:val="32"/>
          <w:szCs w:val="32"/>
        </w:rPr>
        <w:t>省、市级专项资金支持</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探索PPP模式</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WOD 模式</w:t>
      </w:r>
      <w:r>
        <w:rPr>
          <w:rFonts w:hint="eastAsia" w:ascii="方正仿宋_GB2312" w:hAnsi="方正仿宋_GB2312" w:eastAsia="方正仿宋_GB2312" w:cs="方正仿宋_GB2312"/>
          <w:sz w:val="32"/>
          <w:szCs w:val="32"/>
        </w:rPr>
        <w:t>吸引企业投资。合法合规、积极盘活水利资产，探索不动产投资信托基金和资产证券化等融资手段。</w:t>
      </w:r>
    </w:p>
    <w:p w14:paraId="68932DD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rPr>
        <w:t>（四）加强要素保障</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加强与国土空间规划、水利基础设施空间布局规划、“三线一单”生态环境分区管控方案等的衔接，科学布局全市重要水利基础设施，加强在立项、资金、</w:t>
      </w:r>
      <w:r>
        <w:rPr>
          <w:rFonts w:hint="eastAsia" w:ascii="方正仿宋_GB2312" w:hAnsi="方正仿宋_GB2312" w:eastAsia="方正仿宋_GB2312" w:cs="方正仿宋_GB2312"/>
          <w:sz w:val="32"/>
          <w:szCs w:val="32"/>
          <w:lang w:eastAsia="zh-CN"/>
        </w:rPr>
        <w:t>用</w:t>
      </w:r>
      <w:r>
        <w:rPr>
          <w:rFonts w:hint="eastAsia" w:ascii="方正仿宋_GB2312" w:hAnsi="方正仿宋_GB2312" w:eastAsia="方正仿宋_GB2312" w:cs="方正仿宋_GB2312"/>
          <w:sz w:val="32"/>
          <w:szCs w:val="32"/>
        </w:rPr>
        <w:t>地、用海、用林、生态等方面的要素保障。</w:t>
      </w:r>
    </w:p>
    <w:p w14:paraId="5BC596E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rPr>
        <w:t>（五）加强科技创新</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加强水利科技问题研究，系统突破水灾害防御、水资源保障、水工程安全等科技瓶颈。加强水利科技创新管用实用成果推广应用，充分利用现代先进信息化技术，提高重大水利工程数字化、智能化管理和决策水平。</w:t>
      </w:r>
    </w:p>
    <w:p w14:paraId="4C4FE1F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sz w:val="32"/>
          <w:szCs w:val="32"/>
        </w:rPr>
        <w:t>（六）加大宣传力度</w:t>
      </w:r>
      <w:r>
        <w:rPr>
          <w:rFonts w:hint="eastAsia" w:ascii="楷体_GB2312" w:hAnsi="楷体_GB2312" w:eastAsia="楷体_GB2312" w:cs="楷体_GB2312"/>
          <w:b/>
          <w:bCs/>
          <w:sz w:val="32"/>
          <w:szCs w:val="32"/>
          <w:lang w:eastAsia="zh-CN"/>
        </w:rPr>
        <w:t>。</w:t>
      </w:r>
      <w:r>
        <w:rPr>
          <w:rFonts w:hint="eastAsia" w:ascii="方正仿宋_GB2312" w:hAnsi="方正仿宋_GB2312" w:eastAsia="方正仿宋_GB2312" w:cs="方正仿宋_GB2312"/>
          <w:sz w:val="32"/>
          <w:szCs w:val="32"/>
        </w:rPr>
        <w:t>加大对规划的宣传力度，及时总结规划项目建设的典型经验和做法，加强宣传推广，凝聚社会共识，营造各方支持建设的良好氛围，形成治水兴水合力。</w:t>
      </w:r>
    </w:p>
    <w:p w14:paraId="04A33ECF">
      <w:pPr>
        <w:pStyle w:val="2"/>
        <w:numPr>
          <w:ilvl w:val="2"/>
          <w:numId w:val="0"/>
        </w:numPr>
        <w:ind w:left="568" w:leftChars="0"/>
        <w:rPr>
          <w:rFonts w:hint="eastAsia" w:ascii="方正仿宋_GB2312" w:hAnsi="方正仿宋_GB2312" w:eastAsia="方正仿宋_GB2312" w:cs="方正仿宋_GB2312"/>
          <w:sz w:val="32"/>
          <w:szCs w:val="32"/>
        </w:rPr>
      </w:pPr>
    </w:p>
    <w:p w14:paraId="44776849">
      <w:pPr>
        <w:rPr>
          <w:rFonts w:hint="eastAsia" w:ascii="方正仿宋_GB2312" w:hAnsi="方正仿宋_GB2312" w:eastAsia="方正仿宋_GB2312" w:cs="方正仿宋_GB2312"/>
          <w:sz w:val="32"/>
          <w:szCs w:val="32"/>
        </w:rPr>
      </w:pPr>
    </w:p>
    <w:p w14:paraId="05687E39">
      <w:pPr>
        <w:pStyle w:val="2"/>
        <w:numPr>
          <w:ilvl w:val="2"/>
          <w:numId w:val="0"/>
        </w:numPr>
        <w:ind w:left="568" w:leftChars="0"/>
        <w:rPr>
          <w:rFonts w:hint="eastAsia"/>
        </w:rPr>
      </w:pPr>
    </w:p>
    <w:p w14:paraId="5C876BAB">
      <w:pPr>
        <w:rPr>
          <w:rFonts w:hint="eastAsia"/>
        </w:rPr>
      </w:pPr>
    </w:p>
    <w:p w14:paraId="6D5A910D">
      <w:pPr>
        <w:pStyle w:val="2"/>
        <w:numPr>
          <w:ilvl w:val="2"/>
          <w:numId w:val="0"/>
        </w:numPr>
        <w:ind w:left="568" w:leftChars="0"/>
        <w:rPr>
          <w:rFonts w:hint="eastAsia"/>
        </w:rPr>
      </w:pPr>
    </w:p>
    <w:p w14:paraId="5E68AFEA">
      <w:pPr>
        <w:rPr>
          <w:rFonts w:hint="eastAsia"/>
        </w:rPr>
      </w:pPr>
    </w:p>
    <w:p w14:paraId="290DCC82">
      <w:pPr>
        <w:rPr>
          <w:rFonts w:hint="eastAsia"/>
        </w:rPr>
      </w:pPr>
    </w:p>
    <w:p w14:paraId="502C53B6">
      <w:pPr>
        <w:rPr>
          <w:rFonts w:hint="eastAsia"/>
        </w:rPr>
      </w:pPr>
    </w:p>
    <w:p w14:paraId="26F93378">
      <w:pPr>
        <w:rPr>
          <w:rFonts w:hint="eastAsia"/>
        </w:rPr>
      </w:pPr>
    </w:p>
    <w:p w14:paraId="4EA99CCE">
      <w:pPr>
        <w:pStyle w:val="2"/>
        <w:numPr>
          <w:ilvl w:val="2"/>
          <w:numId w:val="0"/>
        </w:numPr>
        <w:ind w:left="568" w:leftChars="0"/>
        <w:rPr>
          <w:rFonts w:hint="eastAsia"/>
        </w:rPr>
      </w:pPr>
    </w:p>
    <w:p w14:paraId="5C2839B3">
      <w:pPr>
        <w:rPr>
          <w:rFonts w:hint="eastAsia"/>
        </w:rPr>
      </w:pPr>
    </w:p>
    <w:p w14:paraId="3EE2357C">
      <w:pPr>
        <w:pStyle w:val="2"/>
        <w:numPr>
          <w:ilvl w:val="2"/>
          <w:numId w:val="0"/>
        </w:numPr>
        <w:ind w:left="568" w:leftChars="0"/>
        <w:rPr>
          <w:rFonts w:hint="eastAsia"/>
        </w:rPr>
        <w:sectPr>
          <w:footerReference r:id="rId3" w:type="default"/>
          <w:pgSz w:w="11906" w:h="16838"/>
          <w:pgMar w:top="2211" w:right="1474" w:bottom="1871" w:left="1587" w:header="851" w:footer="992" w:gutter="0"/>
          <w:pgNumType w:fmt="decimal"/>
          <w:cols w:space="425" w:num="1"/>
          <w:docGrid w:type="lines" w:linePitch="312" w:charSpace="0"/>
        </w:sectPr>
      </w:pPr>
    </w:p>
    <w:tbl>
      <w:tblPr>
        <w:tblStyle w:val="6"/>
        <w:tblW w:w="0" w:type="auto"/>
        <w:tblInd w:w="7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80"/>
        <w:gridCol w:w="4255"/>
        <w:gridCol w:w="1110"/>
        <w:gridCol w:w="1080"/>
        <w:gridCol w:w="4845"/>
        <w:gridCol w:w="2085"/>
        <w:gridCol w:w="2535"/>
        <w:gridCol w:w="1335"/>
        <w:gridCol w:w="2175"/>
        <w:gridCol w:w="1980"/>
      </w:tblGrid>
      <w:tr w14:paraId="4BBD3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2480" w:type="dxa"/>
            <w:gridSpan w:val="10"/>
            <w:tcBorders>
              <w:top w:val="nil"/>
              <w:left w:val="nil"/>
              <w:bottom w:val="nil"/>
              <w:right w:val="nil"/>
              <w:tl2br w:val="nil"/>
              <w:tr2bl w:val="nil"/>
            </w:tcBorders>
            <w:noWrap w:val="0"/>
            <w:vAlign w:val="top"/>
          </w:tcPr>
          <w:p w14:paraId="45E3EFA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40"/>
                <w:szCs w:val="24"/>
              </w:rPr>
            </w:pPr>
            <w:r>
              <w:rPr>
                <w:rFonts w:hint="eastAsia" w:ascii="宋体" w:hAnsi="宋体"/>
                <w:b/>
                <w:color w:val="000000"/>
                <w:sz w:val="40"/>
                <w:szCs w:val="24"/>
              </w:rPr>
              <w:t>台山市水利发展“十五五”实施方案项目表（征求意见稿）</w:t>
            </w:r>
          </w:p>
        </w:tc>
      </w:tr>
      <w:tr w14:paraId="18F22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21EC8BA5">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序号</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07F27AA2">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项目名称</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036E502F">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建设性质</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590AD1A3">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实施计划</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75F919EF">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主要建设内容</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426BAD04">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资金来源</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38D9F003">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已列入规划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185C0C01">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总投资</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4945582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“十四五”完成投资</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12408E1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“十五五”投资</w:t>
            </w:r>
          </w:p>
        </w:tc>
      </w:tr>
      <w:tr w14:paraId="16880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3D3D22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1B1727B9">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总投资</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1690A6E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B3D6B7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40EFE30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4090B17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38F3CD7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73A5B49F">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837944.07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0C8B6BA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23615.00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4CEFD5B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432836.37 </w:t>
            </w:r>
          </w:p>
        </w:tc>
      </w:tr>
      <w:tr w14:paraId="567E8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41E455F7">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一</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5D3AAC3A">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防洪能力提升</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56C4079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F10FDD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264B820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2BCB83B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5A77417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4829E01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372209.74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5CDDCFC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724AD98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234477.04 </w:t>
            </w:r>
          </w:p>
        </w:tc>
      </w:tr>
      <w:tr w14:paraId="36E31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87182A0">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（一）</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50146880">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河流治理工程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75BF2FF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C86BF4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51BDD86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0CC7C03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59BDA00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0558635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40814.00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6C667EC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5BBD228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24107.00 </w:t>
            </w:r>
          </w:p>
        </w:tc>
      </w:tr>
      <w:tr w14:paraId="4DAD2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229782B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1</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0D6CCF38">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江门市西江潭江流域跨界重点支流综合治理工程（二期）台山项目区</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742B6617">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DEDD9E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2028-2035</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678DEA3B">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治理河段：白宵河、冲口河、大冲河、客水河、大隆洞河、端芬河、斗山河、四九河、塘虾河</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625E50AA">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30450122">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《江门市西江潭江流域跨界重点支流综合治理工程（二期）可研》</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502138B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22182.00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0E53857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09E975F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11091.00 </w:t>
            </w:r>
          </w:p>
        </w:tc>
      </w:tr>
      <w:tr w14:paraId="7A440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3433FED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4A160E0F">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台山市新昌水治理工程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2E9014B4">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57C7F9A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2028-2035</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2323E2A5">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四九圩~上南村桥两岸护岸加固3.2km；合水水闸上游未设护岸段岸坡整治两岸5km；新宁水闸~白沙镇两岸岸坡整治14km。</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2AE787CE">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1DEC0DD8">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《江门市中小河流治理总体方案》</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5FD0E02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11616.00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48980F7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275DA6A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6000.00 </w:t>
            </w:r>
          </w:p>
        </w:tc>
      </w:tr>
      <w:tr w14:paraId="2FDA2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280FEAF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3</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3E325641">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台山市新昌水幸福河湖防洪安全补短板建设项目</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2D89CED2">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5B5D358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2027-2028</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5DADBE6C">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治理河长1.4km，包括新建堤防及护岸。拆除重建1m圆管涵一座，3m×3m箱涵一座</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54F6DD5E">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185F2B37">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《台山市城市品质提升行动项目计划表（2026-2028）》</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6A545FB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1031.00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3D77E12F">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3C771C9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1031.00 </w:t>
            </w:r>
          </w:p>
        </w:tc>
      </w:tr>
      <w:tr w14:paraId="0F60D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A062E1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4</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580ECFDF">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白沙水右岸白沙镇段堤防加固工程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32303507">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5B07B35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2028-2030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025D01C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白沙水 20 年一遇标准堤防加固 5.97km</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1479FC8B">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457A0BFD">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《台山市水网建设规划》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3CC070A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2985.00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753A86C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09AC1C4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2985.00 </w:t>
            </w:r>
          </w:p>
        </w:tc>
      </w:tr>
      <w:tr w14:paraId="6CD88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676C8E5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5</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1838C364">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川中河护岸加固工程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09F86685">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81D923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2028-2030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65B3445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建设护岸3km，清淤疏浚5km</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48434151">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73148F82">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《台山市水网建设规划》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421D187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3000.00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60FD3EA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47BAEB3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3000.00 </w:t>
            </w:r>
          </w:p>
        </w:tc>
      </w:tr>
      <w:tr w14:paraId="1E9B6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34A0918A">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（二）</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7BDFA265">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海堤工程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6FDF08D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82731A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6BE7AC0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7BAAAB9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654E2DA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27C12D8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27167.12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2079790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589003B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15098.12 </w:t>
            </w:r>
          </w:p>
        </w:tc>
      </w:tr>
      <w:tr w14:paraId="4C399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6AC0322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1</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5297BCDD">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浪湾海堤加固工程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327F1B2B">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3543433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2026-2028</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7D15848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50年一遇，海堤达标加固0.738m、拆除重建1座挡潮闸，挡潮闸净宽2x3.0m</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3BF25EA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4FBE66C0">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《江门市海堤建设工程实施方案》</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49BFEA7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1628.95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1C7391BF">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3EB2C02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1628.95 </w:t>
            </w:r>
          </w:p>
        </w:tc>
      </w:tr>
      <w:tr w14:paraId="42F1A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7853E5F">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6C81D33C">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广海湾海堤加固工程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5668FD3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341567F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2026-2035</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17ED37D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50年一遇，新建4.8km海堤</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27A7EBDA">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7F19633D">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《江门市海堤建设工程实施方案》</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77C3C9F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24069.00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284588F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1AF95DD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12000.00 </w:t>
            </w:r>
          </w:p>
        </w:tc>
      </w:tr>
      <w:tr w14:paraId="45EAB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47E85A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3</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6431021F">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家寮海堤加固工程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688BE407">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E23997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2024-2030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00BA4BB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50年一遇，海堤达标加固0.62km，维修加固1座挡潮闸，挡潮闸净宽3.0m</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5C29E684">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7A5F17F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《江门市海堤建设工程实施方案》</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75348D5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1469.17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71D3D36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319D457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1469.17 </w:t>
            </w:r>
          </w:p>
        </w:tc>
      </w:tr>
      <w:tr w14:paraId="2F383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4484DC7A">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（三）</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4C4E789D">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水库、山塘加固工程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65E9BA0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B4EA64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2764420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6B2C191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145A80D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458C58F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52500.00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23C0A07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7674D8B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52500.00 </w:t>
            </w:r>
          </w:p>
        </w:tc>
      </w:tr>
      <w:tr w14:paraId="50E12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25E1855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1</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2CDA0740">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水步镇长坑水库除险加固工程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5B417ED1">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1D9C2C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2028-2030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204320B2">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现有坝体进行除险加固，并重建溢洪道，扩</w:t>
            </w:r>
            <w:bookmarkStart w:id="0" w:name="_GoBack"/>
            <w:bookmarkEnd w:id="0"/>
            <w:r>
              <w:rPr>
                <w:rFonts w:hint="eastAsia" w:ascii="宋体" w:hAnsi="宋体"/>
                <w:color w:val="000000"/>
                <w:sz w:val="24"/>
                <w:szCs w:val="24"/>
              </w:rPr>
              <w:t>大有效库容</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4302E5DE">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4B74814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《台山市水网建设规划》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3BABEE7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900.00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2B4CE19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351A53F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900.00 </w:t>
            </w:r>
          </w:p>
        </w:tc>
      </w:tr>
      <w:tr w14:paraId="5C686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5A58F6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131D1E25">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台山市重点山塘加固工程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1A183655">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30C7421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2028-2030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42B4E433">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台山市72个重点山塘进行除险加固，主要工程包括：重建输水涵管；新建反滤体；重建溢洪道；大坝加固培厚，迎水坡砼护坡重建</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41CE7FB0">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0FD7676F">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《台山市水网建设规划》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02EA73A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21600.00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6A3817F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6BF4926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21600.00 </w:t>
            </w:r>
          </w:p>
        </w:tc>
      </w:tr>
      <w:tr w14:paraId="13D23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4976CA1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3</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6F1F8192">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台山市老旧水库改造提升项目</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5D655AF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EFD58BF">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2027-2030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5A29E8E0">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对台山市大中小型老旧水库开展改造提升</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04AEB1D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285DFF0B">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22EA466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30000.00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2893A22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63D333A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30000.00 </w:t>
            </w:r>
          </w:p>
        </w:tc>
      </w:tr>
      <w:tr w14:paraId="540D1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44F3FE3C">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（四）</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74DE2BEF">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病险水库水闸除险加固（重建）工程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6B53C38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8E7520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5A40D7C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121762C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6B4A0F0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59463BC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37771.92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6660E4F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4BB502B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37771.92 </w:t>
            </w:r>
          </w:p>
        </w:tc>
      </w:tr>
      <w:tr w14:paraId="474E7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68E14BF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1</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4E68CB3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台山市烽火角水闸重建工程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711047BA">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新建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6083718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2026-2030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0C96781D">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水闸重建，总净宽为 175.2m，共 24 孔，每孔净宽 7.3m，配套管理区整治等；新建船闸吊桥 1 座；上游烽火角连接堤（大隆洞河）加固 2km 等</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61773208">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4B236068">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《江门市水利发展“十五五”规划》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333A83F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26940.75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459C8A8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451EBA6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26940.75 </w:t>
            </w:r>
          </w:p>
        </w:tc>
      </w:tr>
      <w:tr w14:paraId="06887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560D9E8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2D4CAC92">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台山市铜鼓水闸重建工程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1D140EDA">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新建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5CCEF68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2026-2028</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2CEA7198">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原址重建水闸，水闸闸孔总净宽为30.00m，单孔净宽2.00m，共15孔；水闸过闸流量为304.34m³/s。水闸横向总宽42.40m，闸室顺水流方向长度为4.80m，两侧连接堤衔接</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16BDF6C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7B4C3318">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《江门市水利发展“十五五”规划》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5A191C5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3049.05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4AB50A2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2113F3C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3049.05 </w:t>
            </w:r>
          </w:p>
        </w:tc>
      </w:tr>
      <w:tr w14:paraId="643A4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532DB2E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3</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5B899E51">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台山市茭勒水闸重建工程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49DBF3A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新建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F3C492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2026-2028</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0C83BF63">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原址重建水闸，水闸共有5孔，总净宽20m，过闸流量为157.55m³/s，是一座主要功能为挡潮、排涝兼有蓄淡灌</w:t>
            </w:r>
          </w:p>
          <w:p w14:paraId="1BEDAEAD">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溉的中型水闸</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3E35313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31768763">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《江门市水利发展“十五五”规划》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1086FE3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1944.07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5BF5EE8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347FCC0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1944.07 </w:t>
            </w:r>
          </w:p>
        </w:tc>
      </w:tr>
      <w:tr w14:paraId="67F34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09312E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4</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6A8864FC">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台山市北陡围达石水闸除险加固工程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2CDB93F4">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32BA40F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2027-2030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031ADC0C">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水闸过闸流量为107m³/s；重建水闸上部结构；对破损结构进行修复；对水闸的所有闸门、启闭机进行更换，并增加检修门和锁定装置同时拆除重建启闭机房等</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33879CF2">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2FF1AD2A">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《江门市水利发展“十五五”规划》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49591B9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1153.61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4C72398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07297A4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1153.61 </w:t>
            </w:r>
          </w:p>
        </w:tc>
      </w:tr>
      <w:tr w14:paraId="4C1AA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2B8042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5</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13BA814A">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台山市白沙水闸除险加固工程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081E10F1">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F27E4B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2027-2030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1B4A9DA3">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水闸过闸流量为100m³/s；重建水闸上部结构；对破损结构修复；对水闸的所有闸门、启闭机进行更换，并增加检修门和锁定装置同时拆除重建启闭机房等</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016DBA6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6A909E32">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《江门市水利发展“十五五”规划》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2298D16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1053.70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3F4AF43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58A7010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1053.70 </w:t>
            </w:r>
          </w:p>
        </w:tc>
      </w:tr>
      <w:tr w14:paraId="68493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2D6E9BE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6</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5D1E0E4D">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台山市大隆迳北洞水闸除险加固工程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2361A0DA">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3C97B8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2027-2030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3961A6F4">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水闸过闸流量为348.23m³/s重建水闸上部结构；对破损的浆砌石结构修复，左岸下游新建浆砌石护坡；对水闸的所有闸门、启闭机进行更换，并增加检修门和锁定装置同时拆除重建启闭机房等</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2CC7BC8E">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177E804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《江门市水利发展“十五五”规划》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7710754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1839.25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7CDF333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601879F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1839.25 </w:t>
            </w:r>
          </w:p>
        </w:tc>
      </w:tr>
      <w:tr w14:paraId="13B22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377ECB3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7</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4A55A9FC">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台山市八孔水闸除险加固工程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5ADB543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53351F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2027-2030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625B9A63">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水闸过闸流量为299.51m³/s；重建水闸上部结构，对水闸基础进行处理；对破损结构修复；对水闸的所有闸门、启闭机进行更换，并增加检修门和锁定装置同时拆除重建启闭机房等</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223535D2">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26D1B94A">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《江门市水利发展“十五五”规划》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5DC427CF">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1791.49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6DF873A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7A34FAF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1791.49 </w:t>
            </w:r>
          </w:p>
        </w:tc>
      </w:tr>
      <w:tr w14:paraId="415E2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339CC58F">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（五）</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19F2EB5F">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农村涝区治理工程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0BCCA9A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321E9CC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4FF88EC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3FFBCA6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72ABD07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28D4586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213956.70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2940CE2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17262DA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105000.00 </w:t>
            </w:r>
          </w:p>
        </w:tc>
      </w:tr>
      <w:tr w14:paraId="3BC77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2CB858D8">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1</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7226F15A">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江门台山市白沙镇易受淹镇综合整治项目</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1C1E6181">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B58AB9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2027-2029</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39C5803B">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水闸重建、电排站升级扩建、河道清淤整治，水系连通等治理工程</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16A8E997">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1556ACF0">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《江门市水利发展“十五五”规划》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49F038D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30000.00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658F0A6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70BF5FE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30000.00 </w:t>
            </w:r>
          </w:p>
        </w:tc>
      </w:tr>
      <w:tr w14:paraId="10917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42C8305">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2</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4DE7B9C5">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江门台山市赤溪镇易受淹镇综合整治项目</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11D54D58">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A02294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2027-2029</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724E6E0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水闸重建、电排站升级扩建、河道清淤整治，水系连通等治理工程</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4895DB10">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2523A8D8">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《江门市水利发展“十五五”规划》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49D053E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30000.00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08204AD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33D204D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30000.00 </w:t>
            </w:r>
          </w:p>
        </w:tc>
      </w:tr>
      <w:tr w14:paraId="1B855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4680B4D1">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3</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7B3FDD77">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台山市防洪排涝综合整治项目</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42AF147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2B919E6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2028-2030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187D8E0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分5个子项目：（1）台山市新昌水（城区段）防洪项目，包括坂潭水库扩建、新昌水堤防达标加固9km、新昌水（凤河）北支宁新~波浪段治理等。（2）台山市赤溪镇赤溪圩防洪项目，包括大坑水库扩建。（3）台山市赤溪镇田头片防洪排涝项目，包括猪乸潭水库排洪渠治理1.2km、新建田头围2.07km、新建田头泵站300kW、黄水坑河治理1.476km、新建长安围0.738km、新建长安泵站300kW。（4）水库清淤项目：坂潭、老营底、大坑、猪乸潭水库清淤约125万方.（5）对工业新城园区下游河渠开展清疏和改造工作</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6CA71C45">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481536A5">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《江门市水利发展“十五五”规划》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08A643F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25000.00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57CC29F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225B698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25000.00 </w:t>
            </w:r>
          </w:p>
        </w:tc>
      </w:tr>
      <w:tr w14:paraId="60221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F9A9497">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4</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538AF1C2">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台山市涝区综合治理工程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4B76288A">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15D232F">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2028-2030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3DE2682A">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分3个子项目：（1）端芬镇涝区，疏浚河道32.24km，重建水闸8宗，扩建、新建、新建电排站9宗。（2）广海镇涝区，清淤疏浚27.12km，重建（新建）水闸10座，总净宽96m，重建（新建）泵站5座，排水流量33.9m³/s，建设堤防（护岸）4.45km。（3）斗山镇涝区，清淤疏浚32.24km，重建（新建）水闸8座，总净宽44m，重建（新建）泵站9座，排水流量27.94m³/s</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6E857F0D">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5493EE2B">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《江门市水利发展“十五五”规划》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758417B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128956.70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1C5B506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4FDC3B4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20000.00 </w:t>
            </w:r>
          </w:p>
        </w:tc>
      </w:tr>
      <w:tr w14:paraId="7EBBC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1982E9F">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二</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2C2721C7">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水资源配置及保障工程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7210BC5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2B0EDB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314279B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77F1049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17DBBF1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14F8D2C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60386.03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41C2C97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6000.00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1618416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54386.03 </w:t>
            </w:r>
          </w:p>
        </w:tc>
      </w:tr>
      <w:tr w14:paraId="23324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20637FAB">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（一）</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5F7E9BC2">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水资源配置工程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523C315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230541A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7ACED42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2AC5B93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55CDF09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353C18B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50245.28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55D8F82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6000.00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3D95500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44245.28 </w:t>
            </w:r>
          </w:p>
        </w:tc>
      </w:tr>
      <w:tr w14:paraId="72C9F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A437536">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1</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09559E1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台山市供水管网及配套设施改造工程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612665DF">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续建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B498CD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2025-2028</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162FA37B">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供水管网及配套设施改造工程建设地点位于台山辖区范围内，包含5个子项目：1.台山市农村小型集中供水提质改造工程，主要建设任务为铺设管道总长238.40千米，新建加压站12座，改造小型独立集中供水工程5宗，建设智慧化管理服务。2.台山市赤溪镇、川岛镇（下川岛）、冲蒌镇农村饮水改造工程，铺设供水管道总长272.68千米。3.台山市渔港经济区给排水设施升级改造项目，新建管道12.685千米，改造老旧管道52.07千米。4.台山市台城供水管网改造工程，改造城区管道约130千米。5.台山市金星湖供水管网建设工程，新建泵站1座，重建橡胶坝1座，新建供水管道4.606千米</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025DF227">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4679D8B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7A2ECE9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30630.00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159F0CC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6000.00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79BAFF9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24630.00 </w:t>
            </w:r>
          </w:p>
        </w:tc>
      </w:tr>
      <w:tr w14:paraId="51B2D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2655491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17286A62">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冲蒌镇供水管道引调水工程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1D4ACB73">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新建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3C4E5C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2026-2030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7DF7C28D">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1）供水管网。拟在村道和省道S367（冲恩线冲蒌至三合路段）新建DN600供水管道约10km。设计起点位于台山市三合镇南环路与安和村口交叉口，沿村道和省道S367敷设，设计终点位于省道S367东侧与省道S273的交汇处、冲蒌镇三星公园南侧桥头。新建管道沿线设置检查井、排气、排泥、预留口、检修阀门、电磁流量计、水质水压在线监测仪器等管道附属设施。（2）调蓄泵站。拟在冲蒌镇变电站附近建设调蓄泵站，规模1.4万m3/d。采用变频卧式离心泵，大泵2用1备，单泵流量为320m3/h，扬程为35米；小泵1台，流量为100m3/h，扬程为35米。主要建构筑物含泵站、调蓄水池、投药间、配电间等。</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6F969AAD">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企业</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5AEDBBDC">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0339CD2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4615.28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41A7CE5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1998530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4615.28 </w:t>
            </w:r>
          </w:p>
        </w:tc>
      </w:tr>
      <w:tr w14:paraId="273B2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5DB8D63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3</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00A9120F">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台山市台城污水处理厂再生水利用与绿色赋能项目</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51B16A9F">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新建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2A17A1D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2028-2029</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0C937D3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选取台城污水处理厂尾水作为再生水水源，构建 “污水处理厂尾水-凤河湖生态净化-工业新城回用” 闭环循环体系</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4C7F30EC">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1939FE8F">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台山市水网建设规划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47F1743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15000.00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2901274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0CB68A1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15000.00 </w:t>
            </w:r>
          </w:p>
        </w:tc>
      </w:tr>
      <w:tr w14:paraId="67AA2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211946C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(二)</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01FFA225">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调蓄工程和水源工程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73B97D2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982B14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208DABE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5195319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0B7BE4D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1182C77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10140.75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49572C0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648B9A9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10140.75 </w:t>
            </w:r>
          </w:p>
        </w:tc>
      </w:tr>
      <w:tr w14:paraId="2803D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A9C272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1</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42F5A050">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台山市上下川岛小型引调水工程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7D3322DE">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新建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56F6C48F">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2026-2030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1F08CC32">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1.上川岛部分：红坎山塘、捻沙水库、矢山水库、捻坪水库清淤加固；捻沙水库新建管道向矢山水库输送原水，盛森龙水库铺设管网接入现状三洲水厂原水管；捻坪水库新建水厂，并铺设清水管向沙堤、飞沙滩两个方向供水。2.下川岛部分：牛塘水库、黄陂坑水库清淤扩建；在下洋村接惠众自来水输水管铺设清水管向王府洲方向供水；泾口水库新建水厂接入现状供水管道</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146D839D">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37E6A8D5">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《江门市水网建设规划》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14E9F5F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10140.75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493717D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64CC1C9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10140.75 </w:t>
            </w:r>
          </w:p>
        </w:tc>
      </w:tr>
      <w:tr w14:paraId="4B3F5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D7A6255">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三</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03B9F805">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乡村振兴水利基础工程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194F6DD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6FE58F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45CC8DE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53195EB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216056C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2548121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334236.00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39A0704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23D64FC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90936.00 </w:t>
            </w:r>
          </w:p>
        </w:tc>
      </w:tr>
      <w:tr w14:paraId="76E3A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530BC38">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（一）</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58A62389">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农村供水工程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3EE55B9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74D9B2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0047AF1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4E1006A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6D440F2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16F5E95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7000.00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5E2E053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00A2EA0F">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7000.00 </w:t>
            </w:r>
          </w:p>
        </w:tc>
      </w:tr>
      <w:tr w14:paraId="6077B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22BB752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1</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477F563A">
            <w:pPr>
              <w:keepNext w:val="0"/>
              <w:keepLines w:val="0"/>
              <w:suppressLineNumbers w:val="0"/>
              <w:spacing w:before="0" w:beforeLines="0" w:beforeAutospacing="0" w:after="0" w:afterLines="0" w:afterAutospacing="0"/>
              <w:ind w:left="0" w:right="0"/>
              <w:jc w:val="left"/>
              <w:rPr>
                <w:rFonts w:hint="eastAsia" w:ascii="宋体" w:hAnsi="宋体"/>
                <w:color w:val="000000"/>
                <w:sz w:val="24"/>
                <w:szCs w:val="24"/>
              </w:rPr>
            </w:pPr>
            <w:r>
              <w:rPr>
                <w:rFonts w:hint="eastAsia" w:ascii="宋体" w:hAnsi="宋体"/>
                <w:color w:val="000000"/>
                <w:sz w:val="24"/>
                <w:szCs w:val="24"/>
              </w:rPr>
              <w:t>台山市农村供水“三同五化”改造提升工程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132ECC9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续建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1B7D92F">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2026-2030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17E51770">
            <w:pPr>
              <w:keepNext w:val="0"/>
              <w:keepLines w:val="0"/>
              <w:suppressLineNumbers w:val="0"/>
              <w:spacing w:before="0" w:beforeLines="0" w:beforeAutospacing="0" w:after="0" w:afterLines="0" w:afterAutospacing="0"/>
              <w:ind w:left="0" w:right="0"/>
              <w:jc w:val="left"/>
              <w:rPr>
                <w:rFonts w:hint="eastAsia" w:ascii="宋体" w:hAnsi="宋体"/>
                <w:color w:val="000000"/>
                <w:sz w:val="24"/>
                <w:szCs w:val="24"/>
              </w:rPr>
            </w:pPr>
            <w:r>
              <w:rPr>
                <w:rFonts w:hint="eastAsia" w:ascii="宋体" w:hAnsi="宋体"/>
                <w:color w:val="000000"/>
                <w:sz w:val="24"/>
                <w:szCs w:val="24"/>
              </w:rPr>
              <w:t>铺设供水管道总长约78.014km</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53D060C3">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财政、企业</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6947379C">
            <w:pPr>
              <w:keepNext w:val="0"/>
              <w:keepLines w:val="0"/>
              <w:suppressLineNumbers w:val="0"/>
              <w:spacing w:before="0" w:beforeLines="0" w:beforeAutospacing="0" w:after="0" w:afterLines="0" w:afterAutospacing="0"/>
              <w:ind w:left="0" w:right="0"/>
              <w:jc w:val="left"/>
              <w:rPr>
                <w:rFonts w:hint="eastAsia" w:ascii="宋体" w:hAnsi="宋体"/>
                <w:color w:val="000000"/>
                <w:sz w:val="24"/>
                <w:szCs w:val="24"/>
              </w:rPr>
            </w:pPr>
            <w:r>
              <w:rPr>
                <w:rFonts w:hint="eastAsia" w:ascii="宋体" w:hAnsi="宋体"/>
                <w:color w:val="000000"/>
                <w:sz w:val="24"/>
                <w:szCs w:val="24"/>
              </w:rPr>
              <w:t>《台山市全域自然村集中供水工作实施方案（2019～2025）》</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002E6C8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7000.00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54ED53B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43A9578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7000.00 </w:t>
            </w:r>
          </w:p>
        </w:tc>
      </w:tr>
      <w:tr w14:paraId="1530E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3B88A64">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（二）</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004F69DF">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灌区现代化建设与改造</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2E94A8D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A1E9DB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7D7B2E5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0701A8A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74B0813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7D4CF41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327236.00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1AFCFED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35C7F86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83936.00 </w:t>
            </w:r>
          </w:p>
        </w:tc>
      </w:tr>
      <w:tr w14:paraId="25C88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3A04266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1</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7A9B363D">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广海湾灌区续建配套与现代化改造工程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3A68077D">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新建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90EA04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2026-2035</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3D8A0B94">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工程建设范围主要是广海湾灌区的骨干工程，包括水源工程、骨干灌排渠道、引水灌溉工程、水系连通工程等，具体包括：现有渠道改造长度为174km（含渠系建筑物），灌区范围干渠渠顶路升级改造长度为219km，灌区连通工程包括新建或延伸连通渠道15.4km</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0E1025A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20CAC7A7">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《广东省农田灌溉发展规划》《广东省水网建设规划》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2715D69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287300.00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6BC19DA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30B042B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44000.00 </w:t>
            </w:r>
          </w:p>
        </w:tc>
      </w:tr>
      <w:tr w14:paraId="4B87A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362BC4A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1BFD94D8">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陈坑水库灌区续建配套与现代化改造工程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0A3A567D">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D3B224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2026-2030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1F85FA1B">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改造灌溉渠道总长度10.88km，渠系建筑物改造109座，改造管理设施1处，新建安全设施12处，计量设施新建6处、改造3处</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7BE8A102">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571ADE0C">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《江门市水资源配置专项规划》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4459A98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6648.00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21C842F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1199544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6648.00 </w:t>
            </w:r>
          </w:p>
        </w:tc>
      </w:tr>
      <w:tr w14:paraId="20012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929055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3</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18F7EE5B">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响水潭水库灌区续建配套与节水改造工程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0B1D4B9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50AA396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2028-2030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26CC5E1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改造渠道总长20.5km，新建、重建或加固渠系建筑物60座，重建管养站4座，灌区信息化工程，灌区标准化建设</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72DCDDC7">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4A5B9CE5">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《台山市水网建设规划》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3C3DCE4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8065.00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2B3C460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2232C67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8065.00 </w:t>
            </w:r>
          </w:p>
        </w:tc>
      </w:tr>
      <w:tr w14:paraId="34D37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8CD15B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4</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6346DD25">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猪乸潭水库灌区续建配套与节水改造工程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573081BA">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2AD4EDE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2028-2030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46D0413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改造渠道总长13.1km；重建管养房2座，重建或加固渠系建筑物55座，灌区信息化工程1项</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0E76484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4E15862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《台山市水网建设规划》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5F7395D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5965.00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1BAE5A3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33E89ED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5965.00 </w:t>
            </w:r>
          </w:p>
        </w:tc>
      </w:tr>
      <w:tr w14:paraId="1F92C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184ECC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5</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3354749C">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南坑水库灌区续建配套与节水改造工程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4762FB4E">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5CCE4EE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2028-2030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658E875E">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改造整治渠道7.73km,重建或加固渠系建筑物8座，灌区信息化工程和灌区标准化建设</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30611E84">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47E5D96F">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《台山市水网建设规划》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37F1FE5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2625.00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1D645E1F">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75B22A8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2625.00 </w:t>
            </w:r>
          </w:p>
        </w:tc>
      </w:tr>
      <w:tr w14:paraId="67ACB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6C56272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6</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31195293">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台山市水利因素撂荒地整治项目</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1B5DA7A5">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5CC62B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2028-2030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5C3DBD8B">
            <w:pPr>
              <w:keepNext w:val="0"/>
              <w:keepLines w:val="0"/>
              <w:suppressLineNumbers w:val="0"/>
              <w:spacing w:before="0" w:beforeLines="0" w:beforeAutospacing="0" w:after="0" w:afterLines="0" w:afterAutospacing="0"/>
              <w:ind w:left="0" w:right="0"/>
              <w:jc w:val="left"/>
              <w:rPr>
                <w:rFonts w:hint="eastAsia" w:ascii="宋体" w:hAnsi="宋体"/>
                <w:color w:val="000000"/>
                <w:sz w:val="24"/>
                <w:szCs w:val="24"/>
              </w:rPr>
            </w:pPr>
            <w:r>
              <w:rPr>
                <w:rFonts w:hint="eastAsia" w:ascii="宋体" w:hAnsi="宋体"/>
                <w:color w:val="000000"/>
                <w:sz w:val="24"/>
                <w:szCs w:val="24"/>
              </w:rPr>
              <w:t>大中型灌区干渠、支渠等骨干工程升级改造，实施骨干渠道延伸、泵站改造、沟渠清淤等工程，扩大有效灌溉覆盖范围，提升渠道输水能力与水资源利用率，主要工程内容：骨干渠道延伸28.45km，新建、改造灌排泵站43座，新建输水管道12.20km，干支灌溉沟渠清淤疏浚85.30km。完成水利因素撂荒地治理图斑45个，面积566.07亩</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6425FD0A">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118C549C">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614FC44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16633.00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7449926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1C01B61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16633.00 </w:t>
            </w:r>
          </w:p>
        </w:tc>
      </w:tr>
      <w:tr w14:paraId="1F7AC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50B84E9">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四</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701C08C9">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水生态保护与修复工程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1430E63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45F647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2AF83AF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2F5112B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56F325E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2AD447F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64409.30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4AC9DD6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17615.00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1C5DD7C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46794.30 </w:t>
            </w:r>
          </w:p>
        </w:tc>
      </w:tr>
      <w:tr w14:paraId="41C1F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58F268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(一)</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45C8114D">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幸福河湖建设（生态廊道工程）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7532F9A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4C916A5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3BDF2B5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602B376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40AEFAF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79F3C0D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15925.00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3013A39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5915.00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74C5560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10010.00 </w:t>
            </w:r>
          </w:p>
        </w:tc>
      </w:tr>
      <w:tr w14:paraId="157E0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2304A76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1</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67C8042C">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大隆洞河幸福河湖建设项目</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02F1880D">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续建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81B154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2025-2026</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547A86B0">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围绕“河安湖晏、水清鱼跃、岸绿景美、宜居宜业、人水和谐”的总体目标，将台山市大隆洞河建设为幸福河湖，全面提升江河湖泊保护治理能力和水平</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3D50BF74">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5915D427">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《江门市水网建设规划》《台山市水网建设规划》《广东省大隆洞河幸福河湖建设项目实施方案》</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70B464F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15925.00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01B1F48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5915.00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0A6906A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10010.00 </w:t>
            </w:r>
          </w:p>
        </w:tc>
      </w:tr>
      <w:tr w14:paraId="42F0B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6B76043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(二)</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3547151F">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水土流失治理项目</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7F364E0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5C7F85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07B146B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32A8B9C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308A065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07AF093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5430.00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350A4E7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2700.00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46244EE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2730.00 </w:t>
            </w:r>
          </w:p>
        </w:tc>
      </w:tr>
      <w:tr w14:paraId="6DC95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629C164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1</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0B8B2E8C">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台山市大隆洞河生态清洁小流域治理工程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0E43F4E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D237A7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2028-2030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2B044422">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针对大隆洞流域集雨面积710km2实施水土流失治理、面源污染防治、水环境改善、人居环境提升</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7E5B0090">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财政和企业</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531276C7">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《台山市水网建设规划》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75154FC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5430.00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4B99AA5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2700.00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2BD9975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2730.00 </w:t>
            </w:r>
          </w:p>
        </w:tc>
      </w:tr>
      <w:tr w14:paraId="30B24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2D827D4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(三)</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5EDEE73F">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农村水系综合整治工程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3947D89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4DEFF08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075EF37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4270218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4C00DCB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22F33E5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17000.00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4195C00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79EF79E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17000.00 </w:t>
            </w:r>
          </w:p>
        </w:tc>
      </w:tr>
      <w:tr w14:paraId="46AC9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4553421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1</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49E87C4F">
            <w:pPr>
              <w:keepNext w:val="0"/>
              <w:keepLines w:val="0"/>
              <w:suppressLineNumbers w:val="0"/>
              <w:spacing w:before="0" w:beforeLines="0" w:beforeAutospacing="0" w:after="0" w:afterLines="0" w:afterAutospacing="0"/>
              <w:ind w:left="0" w:right="0"/>
              <w:jc w:val="left"/>
              <w:rPr>
                <w:rFonts w:hint="eastAsia" w:ascii="宋体" w:hAnsi="宋体"/>
                <w:color w:val="000000"/>
                <w:sz w:val="22"/>
                <w:szCs w:val="24"/>
              </w:rPr>
            </w:pPr>
            <w:r>
              <w:rPr>
                <w:rFonts w:hint="eastAsia" w:ascii="宋体" w:hAnsi="宋体"/>
                <w:color w:val="000000"/>
                <w:sz w:val="22"/>
                <w:szCs w:val="24"/>
              </w:rPr>
              <w:t>台山市全域农村水系综合整治工程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3F6BE11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改扩建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3D8BC30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2028-2030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499323C0">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对全市17个镇（街）集雨50~200平方公里农村河道开展清淤疏浚、岸坡整治等工程</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200B5C83">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15FF45AE">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《台山市水网建设规划》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5CDCE6A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17000.00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3B34428F">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5C6AF78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17000.00 </w:t>
            </w:r>
          </w:p>
        </w:tc>
      </w:tr>
      <w:tr w14:paraId="26215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2C13CAF">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（四）</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495F897C">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农村水污染治理</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3E01D1D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4D4A4C5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18625DE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4D7B1F9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2F55E03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7F206AB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25934.30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677448A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9000.00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759E880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16934.30 </w:t>
            </w:r>
          </w:p>
        </w:tc>
      </w:tr>
      <w:tr w14:paraId="7CBA0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489DE21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1</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3FF1A34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台山市污水处理设施及配套管网建设及提升改造项目</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4CCF90DD">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续建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6DF58C5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2025-2030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1B1ED84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项目覆盖1920个自然村，新建34座污水处理设施，处理规模为1555m3/d，新建预处理设施391座，处理规模3060m³/d；配套新建污水收集主管长度约84.392km，巷道污水收集支管或暗渠化长度约306.115km</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71ACB4C2">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3762D66E">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《台山市水网建设规划》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4F10008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25934.30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5F38CCB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9000.00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074EA68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16934.30 </w:t>
            </w:r>
          </w:p>
        </w:tc>
      </w:tr>
      <w:tr w14:paraId="748BC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271DC82">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五</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0D0FDE13">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数字孪生水利工程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2A90DE1D">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6156FBC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75CBE7C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5F04C0D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28719C8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3357C50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5458.00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20AEE77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1717A49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4998.00 </w:t>
            </w:r>
          </w:p>
        </w:tc>
      </w:tr>
      <w:tr w14:paraId="31727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61C8EFF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(一)</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2E89B56F">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水文监测能力提升工程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11041BD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32BB09C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59E634F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6F05DAF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6A1986D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3FB9315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1240.00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1D190DD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7E55025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780.00 </w:t>
            </w:r>
          </w:p>
        </w:tc>
      </w:tr>
      <w:tr w14:paraId="05EAC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D5F00F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1</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278ADF8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台山市水文监测能力提升工程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311CA623">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新建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28E23AC">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2026-2035</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5EDD1A6C">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改建白沙水白沙水文站、那扶河那扶水文站，新建新昌水坂潭、石花、斗山河斗山水位站、新松水库水位站，新建中型水库入库、出库水文站各11个</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0C43A6E1">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0BC4B4B8">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《广东省水文现代化建设规划》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4DB89F7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1240.00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12CA56B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2504774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780.00 </w:t>
            </w:r>
          </w:p>
        </w:tc>
      </w:tr>
      <w:tr w14:paraId="17582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749247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(二)</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624B266C">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数字孪生工程建设</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26B2FD6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7177C87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67AEE40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704C108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003B3C0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58FE847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4218.00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3655791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28FF197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4218.00 </w:t>
            </w:r>
          </w:p>
        </w:tc>
      </w:tr>
      <w:tr w14:paraId="3C10D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535E1C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1</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7EB6361D">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水利工程安全监测设施</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79816558">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新建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F5DD3A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2026~2030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6879579F">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大中型水库开展3宗流量、7宗变形、1宗渗流监测；小型水库开展98宗变形、98宗渗流、1宗视频监测；大中型水闸开展22宗流量、23宗变形、23宗渗流、22宗水位、22宗雨量、22宗视频监测；泵站开展1宗流量、1宗变形、1宗渗流、1宗水位、1宗雨量、1宗视频监测；大中型灌区开展2宗水位、2宗雨量、2宗水量、2宗视频、11宗墒情监测</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4BB57040">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1485D6B1">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《台山市水网建设规划》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6693E5A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4218.00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33C6674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481CACB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4218.00 </w:t>
            </w:r>
          </w:p>
        </w:tc>
      </w:tr>
      <w:tr w14:paraId="76FE0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60763896">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六</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3D5293DC">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深化水利重点领域改革</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7C47D5CB">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113E0A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07DAF1A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689FBD65">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79A4A44E">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007931F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1245.00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71B3932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5B80236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1245.00 </w:t>
            </w:r>
          </w:p>
        </w:tc>
      </w:tr>
      <w:tr w14:paraId="2EBBF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389C83C">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（一）</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7150794D">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重要河湖生态流量保障</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382465A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36E19D2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019418C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4A833CB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21F0A23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695317F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120.00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71CCDCAF">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497EA53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120.00 </w:t>
            </w:r>
          </w:p>
        </w:tc>
      </w:tr>
      <w:tr w14:paraId="5F45F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640C23A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1</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1E412C5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斗山河生态流量保障工程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3A9F100F">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新建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571B5C9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2028-2030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1275D224">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编制生态流量保障方案，建设生态流量站点，开展生态流量管控</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63CE950D">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1042C8C1">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江门市水资源配置专项规划（2022-2035年）</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78A05B9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60.00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1977F6D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33250E79">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60.00 </w:t>
            </w:r>
          </w:p>
        </w:tc>
      </w:tr>
      <w:tr w14:paraId="0D88E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68C5AD2E">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6D66C0B7">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深井水生态流量保障工程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3B2F5FB2">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新建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52CA985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2028-2030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76E67190">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编制生态流量保障方案，建设生态流量站点，开展生态流量管控</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3B671D04">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4275656A">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江门市水资源配置专项规划（2022-2035年）</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7201BA9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60.00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37106A1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68A5535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60.00 </w:t>
            </w:r>
          </w:p>
        </w:tc>
      </w:tr>
      <w:tr w14:paraId="61BDE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62AFF16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(二)</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055BDB60">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河湖管护工程</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7C4ED72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F2956B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6685298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78C2453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464AAB45">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2820296B">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1000.00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51750D2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0F0EAC2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1000.00 </w:t>
            </w:r>
          </w:p>
        </w:tc>
      </w:tr>
      <w:tr w14:paraId="0B701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637F592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1</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315465D1">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台山市河湖管护工作</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7D9EF6E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续建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052E8AF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2026-2030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38CF6BA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开展河湖日常管护工作</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2330C44F">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020CD984">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《江门市水利发展“十四五”规划》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0B6CEFB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1000.00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143570D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1FAF574F">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1000.00 </w:t>
            </w:r>
          </w:p>
        </w:tc>
      </w:tr>
      <w:tr w14:paraId="5A139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126F611A">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(三)</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7C96B5EF">
            <w:pPr>
              <w:keepNext w:val="0"/>
              <w:keepLines w:val="0"/>
              <w:suppressLineNumbers w:val="0"/>
              <w:spacing w:before="0" w:beforeLines="0" w:beforeAutospacing="0" w:after="0" w:afterLines="0" w:afterAutospacing="0"/>
              <w:ind w:left="0" w:right="0"/>
              <w:jc w:val="center"/>
              <w:rPr>
                <w:rFonts w:hint="eastAsia" w:ascii="宋体" w:hAnsi="宋体"/>
                <w:b/>
                <w:color w:val="000000"/>
                <w:sz w:val="24"/>
                <w:szCs w:val="24"/>
              </w:rPr>
            </w:pPr>
            <w:r>
              <w:rPr>
                <w:rFonts w:hint="eastAsia" w:ascii="宋体" w:hAnsi="宋体"/>
                <w:b/>
                <w:color w:val="000000"/>
                <w:sz w:val="24"/>
                <w:szCs w:val="24"/>
              </w:rPr>
              <w:t>水土保持监管</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6D05BFE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53950997">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0DA0329F">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05432473">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57BF77A6">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6345779A">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125.00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307A3EE1">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20CEB0CC">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b/>
                <w:color w:val="000000"/>
                <w:sz w:val="24"/>
                <w:szCs w:val="24"/>
              </w:rPr>
            </w:pPr>
            <w:r>
              <w:rPr>
                <w:rFonts w:hint="eastAsia" w:ascii="Times New Roman" w:hAnsi="Times New Roman" w:eastAsia="Times New Roman"/>
                <w:b/>
                <w:color w:val="000000"/>
                <w:sz w:val="24"/>
                <w:szCs w:val="24"/>
              </w:rPr>
              <w:t xml:space="preserve">125.00 </w:t>
            </w:r>
          </w:p>
        </w:tc>
      </w:tr>
      <w:tr w14:paraId="42CDF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42B576C0">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1</w:t>
            </w:r>
          </w:p>
        </w:tc>
        <w:tc>
          <w:tcPr>
            <w:tcW w:w="4255" w:type="dxa"/>
            <w:tcBorders>
              <w:top w:val="single" w:color="auto" w:sz="6" w:space="0"/>
              <w:left w:val="single" w:color="auto" w:sz="6" w:space="0"/>
              <w:bottom w:val="single" w:color="auto" w:sz="6" w:space="0"/>
              <w:right w:val="single" w:color="auto" w:sz="6" w:space="0"/>
              <w:tl2br w:val="nil"/>
              <w:tr2bl w:val="nil"/>
            </w:tcBorders>
            <w:noWrap w:val="0"/>
            <w:vAlign w:val="top"/>
          </w:tcPr>
          <w:p w14:paraId="44D1C620">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台山市水土保持目标责任制考核第三方服务项目</w:t>
            </w:r>
          </w:p>
        </w:tc>
        <w:tc>
          <w:tcPr>
            <w:tcW w:w="1110" w:type="dxa"/>
            <w:tcBorders>
              <w:top w:val="single" w:color="auto" w:sz="6" w:space="0"/>
              <w:left w:val="single" w:color="auto" w:sz="6" w:space="0"/>
              <w:bottom w:val="single" w:color="auto" w:sz="6" w:space="0"/>
              <w:right w:val="single" w:color="auto" w:sz="6" w:space="0"/>
              <w:tl2br w:val="nil"/>
              <w:tr2bl w:val="nil"/>
            </w:tcBorders>
            <w:noWrap w:val="0"/>
            <w:vAlign w:val="top"/>
          </w:tcPr>
          <w:p w14:paraId="694C5989">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续建</w:t>
            </w:r>
          </w:p>
        </w:tc>
        <w:tc>
          <w:tcPr>
            <w:tcW w:w="1080" w:type="dxa"/>
            <w:tcBorders>
              <w:top w:val="single" w:color="auto" w:sz="6" w:space="0"/>
              <w:left w:val="single" w:color="auto" w:sz="6" w:space="0"/>
              <w:bottom w:val="single" w:color="auto" w:sz="6" w:space="0"/>
              <w:right w:val="single" w:color="auto" w:sz="6" w:space="0"/>
              <w:tl2br w:val="nil"/>
              <w:tr2bl w:val="nil"/>
            </w:tcBorders>
            <w:noWrap w:val="0"/>
            <w:vAlign w:val="top"/>
          </w:tcPr>
          <w:p w14:paraId="2A8E7E04">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2026-2030</w:t>
            </w:r>
          </w:p>
        </w:tc>
        <w:tc>
          <w:tcPr>
            <w:tcW w:w="4845" w:type="dxa"/>
            <w:tcBorders>
              <w:top w:val="single" w:color="auto" w:sz="6" w:space="0"/>
              <w:left w:val="single" w:color="auto" w:sz="6" w:space="0"/>
              <w:bottom w:val="single" w:color="auto" w:sz="6" w:space="0"/>
              <w:right w:val="single" w:color="auto" w:sz="6" w:space="0"/>
              <w:tl2br w:val="nil"/>
              <w:tr2bl w:val="nil"/>
            </w:tcBorders>
            <w:noWrap w:val="0"/>
            <w:vAlign w:val="top"/>
          </w:tcPr>
          <w:p w14:paraId="0BE472E7">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对生产建设项目扰动图斑进行现场复核，完成上级下达年度水土流失治理任务</w:t>
            </w:r>
          </w:p>
        </w:tc>
        <w:tc>
          <w:tcPr>
            <w:tcW w:w="2085" w:type="dxa"/>
            <w:tcBorders>
              <w:top w:val="single" w:color="auto" w:sz="6" w:space="0"/>
              <w:left w:val="single" w:color="auto" w:sz="6" w:space="0"/>
              <w:bottom w:val="single" w:color="auto" w:sz="6" w:space="0"/>
              <w:right w:val="single" w:color="auto" w:sz="6" w:space="0"/>
              <w:tl2br w:val="nil"/>
              <w:tr2bl w:val="nil"/>
            </w:tcBorders>
            <w:noWrap w:val="0"/>
            <w:vAlign w:val="top"/>
          </w:tcPr>
          <w:p w14:paraId="1C5739A6">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财政</w:t>
            </w:r>
          </w:p>
        </w:tc>
        <w:tc>
          <w:tcPr>
            <w:tcW w:w="2535" w:type="dxa"/>
            <w:tcBorders>
              <w:top w:val="single" w:color="auto" w:sz="6" w:space="0"/>
              <w:left w:val="single" w:color="auto" w:sz="6" w:space="0"/>
              <w:bottom w:val="single" w:color="auto" w:sz="6" w:space="0"/>
              <w:right w:val="single" w:color="auto" w:sz="6" w:space="0"/>
              <w:tl2br w:val="nil"/>
              <w:tr2bl w:val="nil"/>
            </w:tcBorders>
            <w:noWrap w:val="0"/>
            <w:vAlign w:val="top"/>
          </w:tcPr>
          <w:p w14:paraId="7B55D03A">
            <w:pPr>
              <w:keepNext w:val="0"/>
              <w:keepLines w:val="0"/>
              <w:suppressLineNumbers w:val="0"/>
              <w:spacing w:before="0" w:beforeLines="0" w:beforeAutospacing="0" w:after="0" w:afterLines="0" w:afterAutospacing="0"/>
              <w:ind w:left="0" w:right="0"/>
              <w:jc w:val="center"/>
              <w:rPr>
                <w:rFonts w:hint="eastAsia" w:ascii="宋体" w:hAnsi="宋体"/>
                <w:color w:val="000000"/>
                <w:sz w:val="24"/>
                <w:szCs w:val="24"/>
              </w:rPr>
            </w:pPr>
            <w:r>
              <w:rPr>
                <w:rFonts w:hint="eastAsia" w:ascii="宋体" w:hAnsi="宋体"/>
                <w:color w:val="000000"/>
                <w:sz w:val="24"/>
                <w:szCs w:val="24"/>
              </w:rPr>
              <w:t>《江门市水网建设规划》</w:t>
            </w:r>
          </w:p>
        </w:tc>
        <w:tc>
          <w:tcPr>
            <w:tcW w:w="1335" w:type="dxa"/>
            <w:tcBorders>
              <w:top w:val="single" w:color="auto" w:sz="6" w:space="0"/>
              <w:left w:val="single" w:color="auto" w:sz="6" w:space="0"/>
              <w:bottom w:val="single" w:color="auto" w:sz="6" w:space="0"/>
              <w:right w:val="single" w:color="auto" w:sz="6" w:space="0"/>
              <w:tl2br w:val="nil"/>
              <w:tr2bl w:val="nil"/>
            </w:tcBorders>
            <w:noWrap w:val="0"/>
            <w:vAlign w:val="top"/>
          </w:tcPr>
          <w:p w14:paraId="1CE2D1D8">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125.00 </w:t>
            </w:r>
          </w:p>
        </w:tc>
        <w:tc>
          <w:tcPr>
            <w:tcW w:w="2175" w:type="dxa"/>
            <w:tcBorders>
              <w:top w:val="single" w:color="auto" w:sz="6" w:space="0"/>
              <w:left w:val="single" w:color="auto" w:sz="6" w:space="0"/>
              <w:bottom w:val="single" w:color="auto" w:sz="6" w:space="0"/>
              <w:right w:val="single" w:color="auto" w:sz="6" w:space="0"/>
              <w:tl2br w:val="nil"/>
              <w:tr2bl w:val="nil"/>
            </w:tcBorders>
            <w:noWrap w:val="0"/>
            <w:vAlign w:val="top"/>
          </w:tcPr>
          <w:p w14:paraId="7DD01D82">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0.00 </w:t>
            </w:r>
          </w:p>
        </w:tc>
        <w:tc>
          <w:tcPr>
            <w:tcW w:w="1980" w:type="dxa"/>
            <w:tcBorders>
              <w:top w:val="single" w:color="auto" w:sz="6" w:space="0"/>
              <w:left w:val="single" w:color="auto" w:sz="6" w:space="0"/>
              <w:bottom w:val="single" w:color="auto" w:sz="6" w:space="0"/>
              <w:right w:val="single" w:color="auto" w:sz="6" w:space="0"/>
              <w:tl2br w:val="nil"/>
              <w:tr2bl w:val="nil"/>
            </w:tcBorders>
            <w:noWrap w:val="0"/>
            <w:vAlign w:val="top"/>
          </w:tcPr>
          <w:p w14:paraId="24D08BEF">
            <w:pPr>
              <w:keepNext w:val="0"/>
              <w:keepLines w:val="0"/>
              <w:suppressLineNumbers w:val="0"/>
              <w:spacing w:before="0" w:beforeLines="0" w:beforeAutospacing="0" w:after="0" w:afterLines="0" w:afterAutospacing="0"/>
              <w:ind w:left="0" w:right="0"/>
              <w:jc w:val="center"/>
              <w:rPr>
                <w:rFonts w:hint="eastAsia" w:ascii="Times New Roman" w:hAnsi="Times New Roman" w:eastAsia="Times New Roman"/>
                <w:color w:val="000000"/>
                <w:sz w:val="24"/>
                <w:szCs w:val="24"/>
              </w:rPr>
            </w:pPr>
            <w:r>
              <w:rPr>
                <w:rFonts w:hint="eastAsia" w:ascii="Times New Roman" w:hAnsi="Times New Roman" w:eastAsia="Times New Roman"/>
                <w:color w:val="000000"/>
                <w:sz w:val="24"/>
                <w:szCs w:val="24"/>
              </w:rPr>
              <w:t xml:space="preserve">125.00 </w:t>
            </w:r>
          </w:p>
        </w:tc>
      </w:tr>
    </w:tbl>
    <w:p w14:paraId="03A8DB31">
      <w:pPr>
        <w:rPr>
          <w:rFonts w:hint="eastAsia"/>
        </w:rPr>
      </w:pPr>
    </w:p>
    <w:p w14:paraId="463F45C5">
      <w:pPr>
        <w:rPr>
          <w:rFonts w:hint="eastAsia"/>
        </w:rPr>
      </w:pPr>
    </w:p>
    <w:p w14:paraId="7BDC8813"/>
    <w:sectPr>
      <w:pgSz w:w="23811" w:h="16838" w:orient="landscape"/>
      <w:pgMar w:top="1587" w:right="567" w:bottom="1474" w:left="567" w:header="851" w:footer="992" w:gutter="0"/>
      <w:pgNumType w:fmt="decimal"/>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BA84149-A307-494F-883E-D4EC46FF81F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4FDF7037-E60B-48FC-ADD0-3E01F88A09DA}"/>
  </w:font>
  <w:font w:name="Cambria">
    <w:panose1 w:val="02040503050406030204"/>
    <w:charset w:val="00"/>
    <w:family w:val="auto"/>
    <w:pitch w:val="default"/>
    <w:sig w:usb0="E00002FF" w:usb1="400004FF" w:usb2="00000000" w:usb3="00000000" w:csb0="2000019F" w:csb1="00000000"/>
  </w:font>
  <w:font w:name="方正仿宋_GB2312">
    <w:panose1 w:val="02000000000000000000"/>
    <w:charset w:val="86"/>
    <w:family w:val="auto"/>
    <w:pitch w:val="default"/>
    <w:sig w:usb0="A00002BF" w:usb1="184F6CFA" w:usb2="00000012" w:usb3="00000000" w:csb0="00040001" w:csb1="00000000"/>
    <w:embedRegular r:id="rId3" w:fontKey="{AC747CDE-790F-4FB7-BB6B-34F1DAF75C75}"/>
  </w:font>
  <w:font w:name="楷体_GB2312">
    <w:panose1 w:val="02010609030101010101"/>
    <w:charset w:val="86"/>
    <w:family w:val="auto"/>
    <w:pitch w:val="default"/>
    <w:sig w:usb0="00000001" w:usb1="080E0000" w:usb2="00000000" w:usb3="00000000" w:csb0="00040000" w:csb1="00000000"/>
    <w:embedRegular r:id="rId4" w:fontKey="{D34E90DC-8598-4430-B24A-D87CE37ED72D}"/>
  </w:font>
  <w:font w:name="仿宋_GB2312">
    <w:panose1 w:val="02010609030101010101"/>
    <w:charset w:val="86"/>
    <w:family w:val="auto"/>
    <w:pitch w:val="default"/>
    <w:sig w:usb0="00000001" w:usb1="080E0000" w:usb2="00000000" w:usb3="00000000" w:csb0="00040000" w:csb1="00000000"/>
    <w:embedRegular r:id="rId5" w:fontKey="{D4475552-E804-4EE5-A916-2ECB1822FB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6E30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242C49">
                          <w:pPr>
                            <w:pStyle w:val="3"/>
                          </w:pPr>
                          <w:r>
                            <w:t>—</w:t>
                          </w:r>
                          <w:r>
                            <w:rPr>
                              <w:sz w:val="28"/>
                              <w:szCs w:val="28"/>
                            </w:rPr>
                            <w:t xml:space="preserve"> </w:t>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242C49">
                    <w:pPr>
                      <w:pStyle w:val="3"/>
                    </w:pPr>
                    <w:r>
                      <w:t>—</w:t>
                    </w:r>
                    <w:r>
                      <w:rPr>
                        <w:sz w:val="28"/>
                        <w:szCs w:val="28"/>
                      </w:rPr>
                      <w:t xml:space="preserve"> </w:t>
                    </w: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7AF21E"/>
    <w:multiLevelType w:val="multilevel"/>
    <w:tmpl w:val="187AF21E"/>
    <w:lvl w:ilvl="0" w:tentative="0">
      <w:start w:val="1"/>
      <w:numFmt w:val="decimal"/>
      <w:suff w:val="space"/>
      <w:lvlText w:val="%1"/>
      <w:lvlJc w:val="left"/>
      <w:pPr>
        <w:ind w:left="0" w:firstLine="0"/>
      </w:pPr>
      <w:rPr>
        <w:rFonts w:hint="default" w:ascii="Cambria" w:hAnsi="Cambria" w:eastAsia="宋体"/>
        <w:b/>
        <w:color w:val="000000"/>
        <w:sz w:val="32"/>
        <w:u w:val="none" w:color="000000"/>
      </w:rPr>
    </w:lvl>
    <w:lvl w:ilvl="1" w:tentative="0">
      <w:start w:val="1"/>
      <w:numFmt w:val="decimal"/>
      <w:suff w:val="space"/>
      <w:lvlText w:val="%1.%2"/>
      <w:lvlJc w:val="left"/>
      <w:pPr>
        <w:ind w:left="0" w:firstLine="0"/>
      </w:pPr>
      <w:rPr>
        <w:rFonts w:hint="default"/>
        <w:b/>
        <w:u w:val="none" w:color="auto"/>
      </w:rPr>
    </w:lvl>
    <w:lvl w:ilvl="2" w:tentative="0">
      <w:start w:val="1"/>
      <w:numFmt w:val="decimal"/>
      <w:pStyle w:val="2"/>
      <w:suff w:val="space"/>
      <w:lvlText w:val="%1.%2.%3"/>
      <w:lvlJc w:val="left"/>
      <w:pPr>
        <w:ind w:left="568" w:firstLine="0"/>
      </w:pPr>
      <w:rPr>
        <w:rFonts w:hint="default"/>
        <w:color w:val="auto"/>
        <w:u w:val="none" w:color="auto"/>
      </w:rPr>
    </w:lvl>
    <w:lvl w:ilvl="3" w:tentative="0">
      <w:start w:val="1"/>
      <w:numFmt w:val="decimal"/>
      <w:suff w:val="space"/>
      <w:lvlText w:val="%1.%2.%3.%4"/>
      <w:lvlJc w:val="left"/>
      <w:pPr>
        <w:ind w:left="993" w:firstLine="0"/>
      </w:pPr>
      <w:rPr>
        <w:rFonts w:hint="default" w:ascii="Cambria" w:hAnsi="Cambria" w:eastAsia="宋体"/>
        <w:b/>
        <w:color w:val="000000"/>
        <w:sz w:val="24"/>
        <w:u w:val="none" w:color="000000"/>
      </w:rPr>
    </w:lvl>
    <w:lvl w:ilvl="4" w:tentative="0">
      <w:start w:val="1"/>
      <w:numFmt w:val="decimal"/>
      <w:lvlRestart w:val="0"/>
      <w:suff w:val="space"/>
      <w:lvlText w:val="图 %1.%2-%5 "/>
      <w:lvlJc w:val="left"/>
      <w:pPr>
        <w:ind w:left="2268" w:firstLine="0"/>
      </w:pPr>
      <w:rPr>
        <w:rFonts w:hint="default"/>
        <w:b/>
        <w:u w:val="none" w:color="auto"/>
      </w:rPr>
    </w:lvl>
    <w:lvl w:ilvl="5" w:tentative="0">
      <w:start w:val="1"/>
      <w:numFmt w:val="decimal"/>
      <w:lvlRestart w:val="0"/>
      <w:suff w:val="space"/>
      <w:lvlText w:val="(%6)"/>
      <w:lvlJc w:val="left"/>
      <w:pPr>
        <w:ind w:left="0" w:firstLine="0"/>
      </w:pPr>
      <w:rPr>
        <w:rFonts w:hint="default" w:ascii="Cambria" w:hAnsi="Cambria" w:eastAsia="宋体"/>
        <w:b/>
        <w:sz w:val="24"/>
        <w:u w:val="none" w:color="auto"/>
      </w:rPr>
    </w:lvl>
    <w:lvl w:ilvl="6" w:tentative="0">
      <w:start w:val="1"/>
      <w:numFmt w:val="decimal"/>
      <w:lvlRestart w:val="0"/>
      <w:suff w:val="space"/>
      <w:lvlText w:val="表 %1.%2-%7 "/>
      <w:lvlJc w:val="left"/>
      <w:pPr>
        <w:ind w:left="0" w:firstLine="0"/>
      </w:pPr>
      <w:rPr>
        <w:rFonts w:hint="default" w:ascii="Cambria" w:hAnsi="Cambria" w:eastAsia="宋体"/>
        <w:b/>
        <w:sz w:val="24"/>
        <w:u w:val="none" w:color="auto"/>
        <w:lang w:val="en-US"/>
      </w:rPr>
    </w:lvl>
    <w:lvl w:ilvl="7" w:tentative="0">
      <w:start w:val="1"/>
      <w:numFmt w:val="decimal"/>
      <w:lvlRestart w:val="0"/>
      <w:suff w:val="space"/>
      <w:lvlText w:val="%8) "/>
      <w:lvlJc w:val="left"/>
      <w:pPr>
        <w:ind w:left="425" w:firstLine="0"/>
      </w:pPr>
      <w:rPr>
        <w:rFonts w:hint="default" w:ascii="Cambria" w:hAnsi="Cambria" w:eastAsia="宋体"/>
        <w:b/>
        <w:sz w:val="24"/>
        <w:u w:val="none" w:color="auto"/>
      </w:rPr>
    </w:lvl>
    <w:lvl w:ilvl="8" w:tentative="0">
      <w:start w:val="1"/>
      <w:numFmt w:val="decimal"/>
      <w:lvlRestart w:val="0"/>
      <w:lvlText w:val="(式 %1.%2-%9)"/>
      <w:lvlJc w:val="right"/>
      <w:pPr>
        <w:ind w:left="0" w:firstLine="288"/>
      </w:pPr>
      <w:rPr>
        <w:rFonts w:hint="default" w:ascii="Cambria" w:hAnsi="Cambria" w:eastAsia="宋体"/>
        <w:b/>
        <w:sz w:val="21"/>
        <w:u w:val="none" w:color="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684AA4"/>
    <w:rsid w:val="01BB4CF6"/>
    <w:rsid w:val="047A39D5"/>
    <w:rsid w:val="04816171"/>
    <w:rsid w:val="05160A69"/>
    <w:rsid w:val="09DE457A"/>
    <w:rsid w:val="0AD30B4E"/>
    <w:rsid w:val="0B5615F5"/>
    <w:rsid w:val="0CA256ED"/>
    <w:rsid w:val="0DEC585B"/>
    <w:rsid w:val="114D5B94"/>
    <w:rsid w:val="11F5632A"/>
    <w:rsid w:val="16E66AB4"/>
    <w:rsid w:val="17292D15"/>
    <w:rsid w:val="17AD0E8A"/>
    <w:rsid w:val="193A6032"/>
    <w:rsid w:val="1A271AB1"/>
    <w:rsid w:val="1D5759F2"/>
    <w:rsid w:val="1D64154C"/>
    <w:rsid w:val="1D70578D"/>
    <w:rsid w:val="1EEE7608"/>
    <w:rsid w:val="21876CBB"/>
    <w:rsid w:val="21EF545F"/>
    <w:rsid w:val="222A0391"/>
    <w:rsid w:val="22705C43"/>
    <w:rsid w:val="232F2753"/>
    <w:rsid w:val="270B08EB"/>
    <w:rsid w:val="29012217"/>
    <w:rsid w:val="2A3A75DF"/>
    <w:rsid w:val="2D9862F2"/>
    <w:rsid w:val="2D9E31BF"/>
    <w:rsid w:val="2E390E23"/>
    <w:rsid w:val="2E726C52"/>
    <w:rsid w:val="32803FFD"/>
    <w:rsid w:val="32B82F5C"/>
    <w:rsid w:val="33B22DE7"/>
    <w:rsid w:val="33D939C5"/>
    <w:rsid w:val="33DE1C58"/>
    <w:rsid w:val="34107796"/>
    <w:rsid w:val="35537CC9"/>
    <w:rsid w:val="35751AF2"/>
    <w:rsid w:val="36781065"/>
    <w:rsid w:val="37523EEA"/>
    <w:rsid w:val="39135CFA"/>
    <w:rsid w:val="397E08D1"/>
    <w:rsid w:val="3D007FC2"/>
    <w:rsid w:val="3D6C042B"/>
    <w:rsid w:val="409D0420"/>
    <w:rsid w:val="410F6A5E"/>
    <w:rsid w:val="41462D22"/>
    <w:rsid w:val="42FF30FA"/>
    <w:rsid w:val="43B6261F"/>
    <w:rsid w:val="445943CE"/>
    <w:rsid w:val="450D6A5B"/>
    <w:rsid w:val="456A5511"/>
    <w:rsid w:val="458637BE"/>
    <w:rsid w:val="45B24076"/>
    <w:rsid w:val="46FB541D"/>
    <w:rsid w:val="47C371D5"/>
    <w:rsid w:val="47CD3212"/>
    <w:rsid w:val="4978109F"/>
    <w:rsid w:val="500278C5"/>
    <w:rsid w:val="502437DE"/>
    <w:rsid w:val="511B1977"/>
    <w:rsid w:val="522C72C3"/>
    <w:rsid w:val="526C7747"/>
    <w:rsid w:val="537A08C9"/>
    <w:rsid w:val="57C272D1"/>
    <w:rsid w:val="59C068A7"/>
    <w:rsid w:val="5A8C79E5"/>
    <w:rsid w:val="5AA21B48"/>
    <w:rsid w:val="5D5F6981"/>
    <w:rsid w:val="5D6722B6"/>
    <w:rsid w:val="5DBA744C"/>
    <w:rsid w:val="60320168"/>
    <w:rsid w:val="60607BB3"/>
    <w:rsid w:val="60CE6859"/>
    <w:rsid w:val="61461DEA"/>
    <w:rsid w:val="64716313"/>
    <w:rsid w:val="65475B40"/>
    <w:rsid w:val="66D73010"/>
    <w:rsid w:val="68050F4D"/>
    <w:rsid w:val="6939225D"/>
    <w:rsid w:val="69A05F97"/>
    <w:rsid w:val="69A26117"/>
    <w:rsid w:val="6A372001"/>
    <w:rsid w:val="6D4C314B"/>
    <w:rsid w:val="72E25CF4"/>
    <w:rsid w:val="745A3B6F"/>
    <w:rsid w:val="74B42FD8"/>
    <w:rsid w:val="78F750C5"/>
    <w:rsid w:val="79717F2D"/>
    <w:rsid w:val="7B783090"/>
    <w:rsid w:val="7BFD2A05"/>
    <w:rsid w:val="7C765821"/>
    <w:rsid w:val="7CC75800"/>
    <w:rsid w:val="7CEC72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numPr>
        <w:ilvl w:val="2"/>
        <w:numId w:val="1"/>
      </w:numPr>
      <w:spacing w:before="260" w:after="260" w:line="413" w:lineRule="auto"/>
      <w:ind w:left="568"/>
      <w:outlineLvl w:val="2"/>
    </w:pPr>
    <w:rPr>
      <w:rFonts w:hint="default"/>
      <w:b/>
      <w:sz w:val="32"/>
      <w:szCs w:val="24"/>
    </w:rPr>
  </w:style>
  <w:style w:type="character" w:default="1" w:styleId="8">
    <w:name w:val="Default Paragraph Font"/>
    <w:semiHidden/>
    <w:qFormat/>
    <w:uiPriority w:val="0"/>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keepNext w:val="0"/>
      <w:keepLines w:val="0"/>
      <w:widowControl w:val="0"/>
      <w:suppressLineNumbers w:val="0"/>
      <w:spacing w:before="0" w:beforeAutospacing="1" w:after="0" w:afterAutospacing="1"/>
      <w:ind w:left="0" w:right="0"/>
      <w:jc w:val="left"/>
    </w:pPr>
    <w:rPr>
      <w:rFonts w:hint="default" w:ascii="Calibri" w:hAnsi="Calibri" w:eastAsia="宋体" w:cs="Times New Roman"/>
      <w:kern w:val="0"/>
      <w:sz w:val="24"/>
      <w:szCs w:val="24"/>
      <w:lang w:val="en-US" w:eastAsia="zh-CN" w:bidi="ar"/>
    </w:rPr>
  </w:style>
  <w:style w:type="table" w:styleId="7">
    <w:name w:val="Table Grid"/>
    <w:basedOn w:val="6"/>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customStyle="1" w:styleId="9">
    <w:name w:val="font01"/>
    <w:basedOn w:val="8"/>
    <w:unhideWhenUsed/>
    <w:qFormat/>
    <w:uiPriority w:val="0"/>
    <w:rPr>
      <w:rFonts w:hint="eastAsia" w:ascii="宋体" w:hAnsi="宋体" w:eastAsia="宋体" w:cs="宋体"/>
      <w:b/>
      <w:color w:val="000000"/>
      <w:sz w:val="42"/>
      <w:szCs w:val="4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3056</Words>
  <Characters>3142</Characters>
  <Lines>1</Lines>
  <Paragraphs>1</Paragraphs>
  <TotalTime>49</TotalTime>
  <ScaleCrop>false</ScaleCrop>
  <LinksUpToDate>false</LinksUpToDate>
  <CharactersWithSpaces>3155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2026-05-15T07:46:00Z</dcterms:created>
  <dc:creator>admin</dc:creator>
  <cp:lastModifiedBy>Ｈυāиɡ國輝</cp:lastModifiedBy>
  <dcterms:modified xsi:type="dcterms:W3CDTF">2026-10-26T03:48:25Z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eyJoZGlkIjoiODNjNDhjNGUzMjk3MjRmNGJkYjQwNWJiOGQ0MTliNzAiLCJ1c2VySWQiOiIxMDY2MjYwNiJ9</vt:lpwstr>
  </property>
  <property fmtid="{D5CDD505-2E9C-101B-9397-08002B2CF9AE}" pid="4" name="ICV">
    <vt:lpwstr>1B8E117E8A6641E582A2AF6F532C5379_12</vt:lpwstr>
  </property>
</Properties>
</file>