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1"/>
        <w:jc w:val="center"/>
        <w:rPr>
          <w:rFonts w:hint="eastAsia" w:ascii="宋体" w:hAnsi="宋体" w:eastAsia="宋体" w:cs="宋体"/>
          <w:b/>
          <w:bCs/>
        </w:rPr>
      </w:pPr>
      <w:r>
        <w:rPr>
          <w:rFonts w:hint="eastAsia" w:ascii="宋体" w:hAnsi="宋体" w:eastAsia="宋体" w:cs="宋体"/>
          <w:b/>
          <w:bCs/>
        </w:rPr>
        <w:t>江门市台山市全域土地综合整治调整实施方案</w:t>
      </w:r>
    </w:p>
    <w:p>
      <w:pPr>
        <w:ind w:firstLine="640"/>
      </w:pPr>
    </w:p>
    <w:p>
      <w:pPr>
        <w:pStyle w:val="2"/>
        <w:pageBreakBefore w:val="0"/>
        <w:kinsoku/>
        <w:wordWrap/>
        <w:overflowPunct/>
        <w:bidi w:val="0"/>
        <w:spacing w:before="0" w:after="0" w:line="560" w:lineRule="exact"/>
        <w:ind w:left="0" w:firstLine="640" w:firstLineChars="200"/>
        <w:jc w:val="both"/>
        <w:rPr>
          <w:rFonts w:hint="eastAsia"/>
          <w:b w:val="0"/>
          <w:bCs w:val="0"/>
        </w:rPr>
      </w:pPr>
      <w:r>
        <w:rPr>
          <w:rFonts w:hint="eastAsia"/>
          <w:b w:val="0"/>
          <w:bCs w:val="0"/>
        </w:rPr>
        <w:t>项目概况</w:t>
      </w:r>
    </w:p>
    <w:p>
      <w:pPr>
        <w:pageBreakBefore w:val="0"/>
        <w:kinsoku/>
        <w:wordWrap/>
        <w:overflowPunct/>
        <w:bidi w:val="0"/>
        <w:spacing w:line="560" w:lineRule="exact"/>
        <w:ind w:left="0" w:firstLine="643" w:firstLineChars="200"/>
        <w:jc w:val="both"/>
      </w:pPr>
      <w:r>
        <w:rPr>
          <w:rFonts w:hint="eastAsia"/>
          <w:b/>
          <w:bCs/>
        </w:rPr>
        <w:t>项目名称：</w:t>
      </w:r>
      <w:r>
        <w:rPr>
          <w:rFonts w:hint="eastAsia"/>
        </w:rPr>
        <w:t>江门市台山市全域土地综合整治调整实施方案（以下简称《方案》）</w:t>
      </w:r>
    </w:p>
    <w:p>
      <w:pPr>
        <w:pageBreakBefore w:val="0"/>
        <w:kinsoku/>
        <w:wordWrap/>
        <w:overflowPunct/>
        <w:bidi w:val="0"/>
        <w:spacing w:line="560" w:lineRule="exact"/>
        <w:ind w:left="0" w:firstLine="643" w:firstLineChars="200"/>
        <w:jc w:val="both"/>
      </w:pPr>
      <w:r>
        <w:rPr>
          <w:rFonts w:hint="eastAsia"/>
          <w:b/>
          <w:bCs/>
        </w:rPr>
        <w:t>整治区域：</w:t>
      </w:r>
      <w:r>
        <w:rPr>
          <w:rFonts w:hint="eastAsia"/>
        </w:rPr>
        <w:t>全域土地综合整治范围整治区域涉及台山市冲蒌镇、广海镇、斗山镇、都斛镇、赤溪镇、台城街道、三合镇、白沙镇、大江镇、水步镇、四九镇、深井镇、汶村镇、北陡镇、川岛镇15</w:t>
      </w:r>
      <w:r>
        <w:rPr>
          <w:rFonts w:hint="eastAsia"/>
          <w:lang w:val="en-US" w:eastAsia="zh-CN"/>
        </w:rPr>
        <w:t>个</w:t>
      </w:r>
      <w:r>
        <w:rPr>
          <w:rFonts w:hint="eastAsia"/>
        </w:rPr>
        <w:t>镇街。</w:t>
      </w:r>
    </w:p>
    <w:p>
      <w:pPr>
        <w:pageBreakBefore w:val="0"/>
        <w:kinsoku/>
        <w:wordWrap/>
        <w:overflowPunct/>
        <w:bidi w:val="0"/>
        <w:spacing w:line="560" w:lineRule="exact"/>
        <w:ind w:left="0" w:firstLine="643" w:firstLineChars="200"/>
        <w:jc w:val="both"/>
      </w:pPr>
      <w:r>
        <w:rPr>
          <w:rFonts w:hint="eastAsia"/>
          <w:b/>
          <w:bCs/>
        </w:rPr>
        <w:t>调整背景：</w:t>
      </w:r>
      <w:r>
        <w:rPr>
          <w:rFonts w:hint="eastAsia"/>
        </w:rPr>
        <w:t>自《方案》批复实施以来，部分项目因实施条件、资金筹措环境、市场主体投资意愿及群众意愿等因素变化导致项目推进进度与原定计划逐步显现出差距。同时，受宏观经济环境、市场预期及融资条件变化等因素影响，部分社会投资主体的资金安排和投资计划发生调整，个别子项目出现资金筹措困难、建设计划延后或暂缓实施等情况，不利于有限资金和土地资源的高效利用，也难以充分发挥全域土地综合整治的整体效益。</w:t>
      </w:r>
    </w:p>
    <w:p>
      <w:pPr>
        <w:pageBreakBefore w:val="0"/>
        <w:kinsoku/>
        <w:wordWrap/>
        <w:overflowPunct/>
        <w:bidi w:val="0"/>
        <w:spacing w:line="560" w:lineRule="exact"/>
        <w:ind w:left="0" w:firstLine="640" w:firstLineChars="200"/>
        <w:jc w:val="both"/>
      </w:pPr>
      <w:r>
        <w:rPr>
          <w:rFonts w:hint="eastAsia"/>
        </w:rPr>
        <w:t>因此，本次一般性调整立足于台山市全域土地综合整治工作实际，结合项目实施进展、资金落实情况、实施主体履约能力及群众实际需求，对原方案中进行阶段性评估和适应性优化。本次调整工作在保持总体整治目标、国土空间规划管控要求及整治任务总体方向相衔接的基础上，合理优化项目类型和资金筹措安排，促进政策性资金、财政资金及社会资本依法合规协同投入，增强项目资金保障能力；并通过合理调整暂不具备实施条件项目的建设安排，降低项目长期停滞和资金沉淀风险，提高土地资源及相关建设要素的配置效率；</w:t>
      </w:r>
      <w:bookmarkStart w:id="0" w:name="_GoBack"/>
      <w:bookmarkEnd w:id="0"/>
      <w:r>
        <w:rPr>
          <w:rFonts w:hint="eastAsia"/>
        </w:rPr>
        <w:t>通过强化产业发展、基础设施完善、生态环境保护和民生改善之间的协同，促进整治成果转化为区域发展优势，切实增强实施方案的适应性、可行性和执行力。</w:t>
      </w:r>
    </w:p>
    <w:p>
      <w:pPr>
        <w:pStyle w:val="2"/>
        <w:pageBreakBefore w:val="0"/>
        <w:kinsoku/>
        <w:wordWrap/>
        <w:overflowPunct/>
        <w:bidi w:val="0"/>
        <w:spacing w:before="0" w:after="0" w:line="560" w:lineRule="exact"/>
        <w:ind w:left="0" w:firstLine="640" w:firstLineChars="200"/>
        <w:jc w:val="both"/>
        <w:rPr>
          <w:rFonts w:hint="eastAsia"/>
          <w:b w:val="0"/>
          <w:bCs w:val="0"/>
        </w:rPr>
      </w:pPr>
      <w:r>
        <w:rPr>
          <w:rFonts w:hint="eastAsia"/>
          <w:b w:val="0"/>
          <w:bCs w:val="0"/>
        </w:rPr>
        <w:t>整治目标</w:t>
      </w:r>
    </w:p>
    <w:p>
      <w:pPr>
        <w:pageBreakBefore w:val="0"/>
        <w:kinsoku/>
        <w:wordWrap/>
        <w:overflowPunct/>
        <w:bidi w:val="0"/>
        <w:spacing w:line="560" w:lineRule="exact"/>
        <w:ind w:left="0" w:firstLine="640" w:firstLineChars="200"/>
        <w:jc w:val="both"/>
        <w:rPr>
          <w:rFonts w:hint="eastAsia" w:ascii="仿宋_GB2312" w:hAnsi="仿宋_GB2312" w:eastAsia="仿宋_GB2312" w:cs="仿宋_GB2312"/>
        </w:rPr>
      </w:pPr>
      <w:r>
        <w:rPr>
          <w:rFonts w:hint="eastAsia" w:ascii="仿宋_GB2312" w:hAnsi="仿宋_GB2312" w:eastAsia="仿宋_GB2312" w:cs="仿宋_GB2312"/>
        </w:rPr>
        <w:t>以打造“良田比较集中、村庄布局优化、产业集聚发展、生态健康优美”的土地保护利用新格局为整治目标。把握台山“海洋”+“山区”的空间特征，“台山”+“湾区”的区域价值，以及台山深厚的侨乡人文历史，依托“区域一体化发展示范区、城市创新发展示范区、生态文明发展示范区”三个片区的区域协调格局培育成型；实现工业新城、广海湾经济开发区、现代化农产园等重要产业平台提档增效，基本建成“中国第一侨乡”深度体验地。将台山建设为现代“农业强县”、珠西“制造基地”、滨海“侨乡之城”和山水“田园城市”，打造“南国海陆大粮仓，绿美侨乡新金山”。</w:t>
      </w:r>
    </w:p>
    <w:p>
      <w:pPr>
        <w:pStyle w:val="2"/>
        <w:pageBreakBefore w:val="0"/>
        <w:kinsoku/>
        <w:wordWrap/>
        <w:overflowPunct/>
        <w:bidi w:val="0"/>
        <w:spacing w:before="0" w:after="0" w:line="560" w:lineRule="exact"/>
        <w:ind w:left="0" w:firstLine="640" w:firstLineChars="200"/>
        <w:jc w:val="both"/>
        <w:rPr>
          <w:rFonts w:hint="eastAsia"/>
          <w:b w:val="0"/>
          <w:bCs w:val="0"/>
        </w:rPr>
      </w:pPr>
      <w:r>
        <w:rPr>
          <w:rFonts w:hint="eastAsia"/>
          <w:b w:val="0"/>
          <w:bCs w:val="0"/>
        </w:rPr>
        <w:t>调整内容</w:t>
      </w:r>
    </w:p>
    <w:p>
      <w:pPr>
        <w:pStyle w:val="4"/>
        <w:keepNext/>
        <w:pageBreakBefore w:val="0"/>
        <w:widowControl/>
        <w:tabs>
          <w:tab w:val="left" w:pos="420"/>
          <w:tab w:val="clear" w:pos="0"/>
          <w:tab w:val="clear" w:pos="105"/>
        </w:tabs>
        <w:kinsoku/>
        <w:wordWrap/>
        <w:overflowPunct/>
        <w:topLinePunct/>
        <w:bidi w:val="0"/>
        <w:adjustRightInd w:val="0"/>
        <w:snapToGrid w:val="0"/>
        <w:spacing w:line="560" w:lineRule="exact"/>
        <w:ind w:left="0" w:firstLine="643" w:firstLineChars="200"/>
        <w:jc w:val="both"/>
        <w:textAlignment w:val="baseline"/>
        <w:rPr>
          <w:b/>
          <w:bCs/>
          <w:szCs w:val="24"/>
        </w:rPr>
      </w:pPr>
      <w:r>
        <w:rPr>
          <w:rFonts w:hint="eastAsia"/>
          <w:b/>
          <w:bCs/>
          <w:szCs w:val="24"/>
        </w:rPr>
        <w:t xml:space="preserve"> 调整前方案</w:t>
      </w:r>
    </w:p>
    <w:p>
      <w:pPr>
        <w:pageBreakBefore w:val="0"/>
        <w:kinsoku/>
        <w:wordWrap/>
        <w:overflowPunct/>
        <w:bidi w:val="0"/>
        <w:spacing w:line="560" w:lineRule="exact"/>
        <w:ind w:left="0" w:firstLine="640" w:firstLineChars="200"/>
        <w:jc w:val="both"/>
        <w:rPr>
          <w:rFonts w:hint="eastAsia" w:ascii="仿宋_GB2312" w:hAnsi="仿宋_GB2312" w:eastAsia="仿宋_GB2312" w:cs="仿宋_GB2312"/>
        </w:rPr>
      </w:pPr>
      <w:r>
        <w:rPr>
          <w:rFonts w:hint="eastAsia" w:ascii="仿宋_GB2312" w:hAnsi="仿宋_GB2312" w:eastAsia="仿宋_GB2312" w:cs="仿宋_GB2312"/>
        </w:rPr>
        <w:t>原实施方案计划总投资498001.11万元，共95个全域土地综合整治子项目，其中农用地整治项目23个，建设用地整理项目19个；生态保护修复项目9个，乡村风貌提升和历史文化保护项目8个，公共服务与基础设施项目7个，产业导入项目29个。农用地整治规模为682.7933公顷，其中计划新增耕地面积234.9965公顷；建设用地整理规模为103.7777公顷，其中计划腾退建设用地面积为99.5629公顷；生态保护修复规模为437.4760公顷。</w:t>
      </w:r>
    </w:p>
    <w:p>
      <w:pPr>
        <w:pStyle w:val="4"/>
        <w:keepNext/>
        <w:pageBreakBefore w:val="0"/>
        <w:widowControl/>
        <w:tabs>
          <w:tab w:val="left" w:pos="420"/>
          <w:tab w:val="clear" w:pos="0"/>
          <w:tab w:val="clear" w:pos="105"/>
        </w:tabs>
        <w:kinsoku/>
        <w:wordWrap/>
        <w:overflowPunct/>
        <w:topLinePunct/>
        <w:bidi w:val="0"/>
        <w:adjustRightInd w:val="0"/>
        <w:snapToGrid w:val="0"/>
        <w:spacing w:line="560" w:lineRule="exact"/>
        <w:ind w:left="0" w:firstLine="643" w:firstLineChars="200"/>
        <w:jc w:val="both"/>
        <w:textAlignment w:val="baseline"/>
        <w:rPr>
          <w:b/>
          <w:bCs/>
          <w:szCs w:val="24"/>
        </w:rPr>
      </w:pPr>
      <w:r>
        <w:rPr>
          <w:rFonts w:hint="eastAsia"/>
          <w:b/>
          <w:bCs/>
          <w:szCs w:val="24"/>
        </w:rPr>
        <w:t xml:space="preserve"> 调整内容</w:t>
      </w:r>
    </w:p>
    <w:p>
      <w:pPr>
        <w:pageBreakBefore w:val="0"/>
        <w:kinsoku/>
        <w:wordWrap/>
        <w:overflowPunct/>
        <w:bidi w:val="0"/>
        <w:spacing w:line="560" w:lineRule="exact"/>
        <w:ind w:left="0" w:firstLine="640" w:firstLineChars="200"/>
        <w:jc w:val="both"/>
        <w:rPr>
          <w:rFonts w:hint="eastAsia" w:ascii="仿宋_GB2312" w:hAnsi="仿宋_GB2312" w:eastAsia="仿宋_GB2312" w:cs="仿宋_GB2312"/>
        </w:rPr>
      </w:pPr>
      <w:r>
        <w:rPr>
          <w:rFonts w:hint="eastAsia" w:ascii="仿宋_GB2312" w:hAnsi="仿宋_GB2312" w:eastAsia="仿宋_GB2312" w:cs="仿宋_GB2312"/>
        </w:rPr>
        <w:t>本次调整方案根据实际推进情况，对部分子项目进行优化和结构性调整，经综合测算与论证，部分核心指标较原方案有所调整，整治区域面积、农用地整治面积、建设用地整治面积等核心指标均不降低，整体建设规模和实施成效进一步提升。</w:t>
      </w:r>
    </w:p>
    <w:p>
      <w:pPr>
        <w:pageBreakBefore w:val="0"/>
        <w:kinsoku/>
        <w:wordWrap/>
        <w:overflowPunct/>
        <w:bidi w:val="0"/>
        <w:spacing w:line="560" w:lineRule="exact"/>
        <w:ind w:left="0" w:firstLine="640" w:firstLineChars="200"/>
        <w:jc w:val="both"/>
        <w:rPr>
          <w:rFonts w:hint="eastAsia" w:ascii="仿宋_GB2312" w:hAnsi="仿宋_GB2312" w:eastAsia="仿宋_GB2312" w:cs="仿宋_GB2312"/>
        </w:rPr>
      </w:pPr>
      <w:r>
        <w:rPr>
          <w:rFonts w:hint="eastAsia" w:ascii="仿宋_GB2312" w:hAnsi="仿宋_GB2312" w:eastAsia="仿宋_GB2312" w:cs="仿宋_GB2312"/>
        </w:rPr>
        <w:t>其中，项目计划总投资金额由498001.11万元调整为498125.44万元，较原实施方案投资增加了124.33万元；农用地整治规模由682.7933公顷调整为682.8534公顷，较原实施方案增加了0.0601公顷，通过拓展可复垦撂荒地等，进一步实现耕地资源集中连片及高效利用；建设用地整治面积由103.7777公顷调整为103.8212公顷，较原实施方案增加了0.0435公顷，主要为村庄建设用地整理、低效建设用地整理、安置区优化布局等；生态保护修复规模由437.4760公顷调整为440.8083公顷，较原实施方案增加了3.3323公顷，主要通过扩大生态修复实施范围，推进河湖湿地保护、林地修复、水土保持及生态空间优化等工程，持续提升区域生态系统稳定性和生态服务功能。</w:t>
      </w:r>
    </w:p>
    <w:p>
      <w:pPr>
        <w:pageBreakBefore w:val="0"/>
        <w:kinsoku/>
        <w:wordWrap/>
        <w:overflowPunct/>
        <w:bidi w:val="0"/>
        <w:spacing w:line="560" w:lineRule="exact"/>
        <w:ind w:left="0" w:firstLine="640" w:firstLineChars="200"/>
        <w:jc w:val="both"/>
        <w:rPr>
          <w:rFonts w:hint="eastAsia" w:ascii="仿宋_GB2312" w:hAnsi="仿宋_GB2312" w:eastAsia="仿宋_GB2312" w:cs="仿宋_GB2312"/>
        </w:rPr>
      </w:pPr>
      <w:r>
        <w:rPr>
          <w:rFonts w:hint="eastAsia" w:ascii="仿宋_GB2312" w:hAnsi="仿宋_GB2312" w:eastAsia="仿宋_GB2312" w:cs="仿宋_GB2312"/>
        </w:rPr>
        <w:t>“三区三线”调整内容方面：调整方案保留原实施方案的内容，其中保留永久基本农田及城镇开发边界调整的相关内容，原方案不涉及以及生态保护红线调整内容。</w:t>
      </w:r>
    </w:p>
    <w:p>
      <w:pPr>
        <w:pageBreakBefore w:val="0"/>
        <w:kinsoku/>
        <w:wordWrap/>
        <w:overflowPunct/>
        <w:bidi w:val="0"/>
        <w:spacing w:line="560" w:lineRule="exact"/>
        <w:ind w:left="0" w:firstLine="640" w:firstLineChars="200"/>
        <w:jc w:val="both"/>
        <w:rPr>
          <w:rFonts w:hint="eastAsia" w:ascii="仿宋_GB2312" w:hAnsi="仿宋_GB2312" w:eastAsia="仿宋_GB2312" w:cs="仿宋_GB2312"/>
        </w:rPr>
      </w:pPr>
      <w:r>
        <w:rPr>
          <w:rFonts w:hint="eastAsia" w:ascii="仿宋_GB2312" w:hAnsi="仿宋_GB2312" w:eastAsia="仿宋_GB2312" w:cs="仿宋_GB2312"/>
        </w:rPr>
        <w:t>子项目调整方面：由于部分子项目在实施过程中出现资金筹集困难、群众实施意愿不足、建设条件发生变化等情况，拟将原有95个子项目调整为89个子项目。其中终止9个子项目，保留66个项目，调整20个子项目，并新增3个子项目。</w:t>
      </w:r>
    </w:p>
    <w:p>
      <w:pPr>
        <w:pStyle w:val="4"/>
        <w:keepNext/>
        <w:pageBreakBefore w:val="0"/>
        <w:widowControl/>
        <w:tabs>
          <w:tab w:val="left" w:pos="420"/>
          <w:tab w:val="clear" w:pos="0"/>
          <w:tab w:val="clear" w:pos="105"/>
        </w:tabs>
        <w:kinsoku/>
        <w:wordWrap/>
        <w:overflowPunct/>
        <w:topLinePunct/>
        <w:bidi w:val="0"/>
        <w:adjustRightInd w:val="0"/>
        <w:snapToGrid w:val="0"/>
        <w:spacing w:line="560" w:lineRule="exact"/>
        <w:ind w:left="0" w:firstLine="643" w:firstLineChars="200"/>
        <w:jc w:val="both"/>
        <w:textAlignment w:val="baseline"/>
        <w:rPr>
          <w:b/>
          <w:bCs/>
          <w:szCs w:val="24"/>
        </w:rPr>
      </w:pPr>
      <w:r>
        <w:rPr>
          <w:rFonts w:hint="eastAsia"/>
          <w:b/>
          <w:bCs/>
          <w:szCs w:val="24"/>
        </w:rPr>
        <w:t xml:space="preserve"> 调整情形</w:t>
      </w:r>
    </w:p>
    <w:p>
      <w:pPr>
        <w:pageBreakBefore w:val="0"/>
        <w:kinsoku/>
        <w:wordWrap/>
        <w:overflowPunct/>
        <w:bidi w:val="0"/>
        <w:spacing w:line="560" w:lineRule="exact"/>
        <w:ind w:left="0" w:firstLine="640" w:firstLineChars="200"/>
        <w:jc w:val="both"/>
      </w:pPr>
      <w:r>
        <w:rPr>
          <w:rFonts w:hint="eastAsia"/>
        </w:rPr>
        <w:t>调整后，项目计划总投资规模、农用地整治规模、建设用地整治面积及生态保护修复规模较原实施方案均不降低，项目总体建设目标、整治任务及实施方向未发生重大变化。根据《广东省全域土地综合整治实施方案调整管理相关规定》要求，本次调整属于优化项目实施内容和规模的常规调整，不涉及项目总体布局、建设目标及重大工程安排变化，符合省自然资源厅关于实施方案调整管理的有关规定，属于一般调整情形。</w:t>
      </w:r>
    </w:p>
    <w:p>
      <w:pPr>
        <w:pageBreakBefore w:val="0"/>
        <w:widowControl/>
        <w:kinsoku/>
        <w:wordWrap/>
        <w:overflowPunct/>
        <w:bidi w:val="0"/>
        <w:spacing w:line="560" w:lineRule="exact"/>
        <w:ind w:left="0" w:firstLine="640" w:firstLineChars="200"/>
        <w:jc w:val="both"/>
      </w:pPr>
      <w:r>
        <w:br w:type="page"/>
      </w:r>
    </w:p>
    <w:p>
      <w:pPr>
        <w:pStyle w:val="2"/>
        <w:rPr>
          <w:rFonts w:hint="eastAsia"/>
        </w:rPr>
      </w:pPr>
      <w:r>
        <w:rPr>
          <w:rFonts w:hint="eastAsia"/>
        </w:rPr>
        <w:t>台山市全域土地综合整治调整方案子项目分布图</w:t>
      </w:r>
      <w:r>
        <w:rPr>
          <w:rFonts w:hint="eastAsia"/>
        </w:rPr>
        <w:drawing>
          <wp:anchor distT="0" distB="0" distL="114300" distR="114300" simplePos="0" relativeHeight="251661312" behindDoc="0" locked="1" layoutInCell="1" allowOverlap="0">
            <wp:simplePos x="0" y="0"/>
            <wp:positionH relativeFrom="margin">
              <wp:align>center</wp:align>
            </wp:positionH>
            <wp:positionV relativeFrom="margin">
              <wp:align>bottom</wp:align>
            </wp:positionV>
            <wp:extent cx="6047740" cy="8553450"/>
            <wp:effectExtent l="0" t="0" r="0" b="0"/>
            <wp:wrapSquare wrapText="bothSides"/>
            <wp:docPr id="1960401959" name="图片 1960401959" descr="北部子项目调整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401959" name="图片 1960401959" descr="北部子项目调整后"/>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47740" cy="8553450"/>
                    </a:xfrm>
                    <a:prstGeom prst="rect">
                      <a:avLst/>
                    </a:prstGeom>
                  </pic:spPr>
                </pic:pic>
              </a:graphicData>
            </a:graphic>
          </wp:anchor>
        </w:drawing>
      </w:r>
    </w:p>
    <w:p>
      <w:pPr>
        <w:ind w:firstLine="640"/>
        <w:sectPr>
          <w:pgSz w:w="11906" w:h="16838"/>
          <w:pgMar w:top="2211" w:right="1474" w:bottom="1871" w:left="1587" w:header="851" w:footer="992" w:gutter="0"/>
          <w:cols w:space="425" w:num="1"/>
          <w:docGrid w:type="lines" w:linePitch="312" w:charSpace="0"/>
        </w:sectPr>
      </w:pPr>
    </w:p>
    <w:p>
      <w:pPr>
        <w:spacing w:line="240" w:lineRule="auto"/>
        <w:ind w:firstLine="0" w:firstLineChars="0"/>
      </w:pPr>
      <w:r>
        <w:rPr>
          <w:rFonts w:hint="eastAsia"/>
        </w:rPr>
        <w:drawing>
          <wp:anchor distT="0" distB="0" distL="114300" distR="114300" simplePos="0" relativeHeight="251659264" behindDoc="0" locked="1" layoutInCell="1" allowOverlap="0">
            <wp:simplePos x="0" y="0"/>
            <wp:positionH relativeFrom="margin">
              <wp:align>center</wp:align>
            </wp:positionH>
            <wp:positionV relativeFrom="margin">
              <wp:align>center</wp:align>
            </wp:positionV>
            <wp:extent cx="6047740" cy="8553450"/>
            <wp:effectExtent l="0" t="0" r="0" b="0"/>
            <wp:wrapSquare wrapText="bothSides"/>
            <wp:docPr id="2" name="图片 2" descr="广海湾子项目调整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广海湾子项目调整后"/>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6048000" cy="8553600"/>
                    </a:xfrm>
                    <a:prstGeom prst="rect">
                      <a:avLst/>
                    </a:prstGeom>
                  </pic:spPr>
                </pic:pic>
              </a:graphicData>
            </a:graphic>
          </wp:anchor>
        </w:drawing>
      </w:r>
    </w:p>
    <w:p>
      <w:pPr>
        <w:spacing w:line="240" w:lineRule="auto"/>
        <w:ind w:firstLine="0" w:firstLineChars="0"/>
      </w:pPr>
      <w:r>
        <w:rPr>
          <w:rFonts w:hint="eastAsia"/>
        </w:rPr>
        <w:drawing>
          <wp:anchor distT="0" distB="0" distL="114300" distR="114300" simplePos="0" relativeHeight="251660288" behindDoc="0" locked="1" layoutInCell="1" allowOverlap="0">
            <wp:simplePos x="0" y="0"/>
            <wp:positionH relativeFrom="margin">
              <wp:align>center</wp:align>
            </wp:positionH>
            <wp:positionV relativeFrom="margin">
              <wp:align>center</wp:align>
            </wp:positionV>
            <wp:extent cx="6047740" cy="8553450"/>
            <wp:effectExtent l="0" t="0" r="0" b="0"/>
            <wp:wrapSquare wrapText="bothSides"/>
            <wp:docPr id="3" name="图片 3" descr="西部子项目调整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西部子项目调整后"/>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048000" cy="8553600"/>
                    </a:xfrm>
                    <a:prstGeom prst="rect">
                      <a:avLst/>
                    </a:prstGeom>
                  </pic:spPr>
                </pic:pic>
              </a:graphicData>
            </a:graphic>
          </wp:anchor>
        </w:drawing>
      </w:r>
    </w:p>
    <w:sectPr>
      <w:pgSz w:w="11906" w:h="16838"/>
      <w:pgMar w:top="1157" w:right="1080" w:bottom="1157"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2CB02D"/>
    <w:multiLevelType w:val="multilevel"/>
    <w:tmpl w:val="802CB02D"/>
    <w:lvl w:ilvl="0" w:tentative="0">
      <w:start w:val="1"/>
      <w:numFmt w:val="chineseCounting"/>
      <w:pStyle w:val="2"/>
      <w:suff w:val="nothing"/>
      <w:lvlText w:val="%1、"/>
      <w:lvlJc w:val="left"/>
      <w:pPr>
        <w:tabs>
          <w:tab w:val="left" w:pos="0"/>
        </w:tabs>
        <w:ind w:left="600" w:firstLine="40"/>
      </w:pPr>
      <w:rPr>
        <w:rFonts w:hint="eastAsia"/>
      </w:rPr>
    </w:lvl>
    <w:lvl w:ilvl="1" w:tentative="0">
      <w:start w:val="1"/>
      <w:numFmt w:val="chineseCounting"/>
      <w:pStyle w:val="4"/>
      <w:suff w:val="nothing"/>
      <w:lvlText w:val="（%2）"/>
      <w:lvlJc w:val="left"/>
      <w:pPr>
        <w:tabs>
          <w:tab w:val="left" w:pos="420"/>
        </w:tabs>
        <w:ind w:left="420" w:firstLine="221"/>
      </w:pPr>
      <w:rPr>
        <w:rFonts w:hint="eastAsia"/>
      </w:rPr>
    </w:lvl>
    <w:lvl w:ilvl="2" w:tentative="0">
      <w:start w:val="1"/>
      <w:numFmt w:val="decimal"/>
      <w:pStyle w:val="5"/>
      <w:lvlText w:val="%3."/>
      <w:lvlJc w:val="left"/>
      <w:pPr>
        <w:tabs>
          <w:tab w:val="left" w:pos="420"/>
        </w:tabs>
        <w:ind w:left="0" w:firstLine="640"/>
      </w:pPr>
      <w:rPr>
        <w:rFonts w:hint="eastAsia"/>
      </w:rPr>
    </w:lvl>
    <w:lvl w:ilvl="3" w:tentative="0">
      <w:start w:val="1"/>
      <w:numFmt w:val="decimal"/>
      <w:pStyle w:val="6"/>
      <w:lvlText w:val="%3.%4"/>
      <w:lvlJc w:val="left"/>
      <w:pPr>
        <w:tabs>
          <w:tab w:val="left" w:pos="420"/>
        </w:tabs>
        <w:ind w:left="238" w:firstLine="402"/>
      </w:pPr>
      <w:rPr>
        <w:rFonts w:hint="eastAsia"/>
      </w:rPr>
    </w:lvl>
    <w:lvl w:ilvl="4" w:tentative="0">
      <w:start w:val="1"/>
      <w:numFmt w:val="decimal"/>
      <w:pStyle w:val="7"/>
      <w:suff w:val="nothing"/>
      <w:lvlText w:val="（%5）"/>
      <w:lvlJc w:val="left"/>
      <w:pPr>
        <w:tabs>
          <w:tab w:val="left" w:pos="0"/>
        </w:tabs>
        <w:ind w:left="238" w:firstLine="402"/>
      </w:pPr>
      <w:rPr>
        <w:rFonts w:hint="eastAsia"/>
      </w:rPr>
    </w:lvl>
    <w:lvl w:ilvl="5" w:tentative="0">
      <w:start w:val="1"/>
      <w:numFmt w:val="decimal"/>
      <w:pStyle w:val="8"/>
      <w:suff w:val="nothing"/>
      <w:lvlText w:val="%6）"/>
      <w:lvlJc w:val="left"/>
      <w:pPr>
        <w:ind w:left="600" w:firstLine="402"/>
      </w:pPr>
      <w:rPr>
        <w:rFonts w:hint="eastAsia"/>
      </w:rPr>
    </w:lvl>
    <w:lvl w:ilvl="6" w:tentative="0">
      <w:start w:val="1"/>
      <w:numFmt w:val="lowerLetter"/>
      <w:pStyle w:val="9"/>
      <w:suff w:val="nothing"/>
      <w:lvlText w:val="%7．"/>
      <w:lvlJc w:val="left"/>
      <w:pPr>
        <w:ind w:left="600" w:firstLine="402"/>
      </w:pPr>
      <w:rPr>
        <w:rFonts w:hint="eastAsia"/>
      </w:rPr>
    </w:lvl>
    <w:lvl w:ilvl="7" w:tentative="0">
      <w:start w:val="1"/>
      <w:numFmt w:val="lowerLetter"/>
      <w:pStyle w:val="10"/>
      <w:suff w:val="nothing"/>
      <w:lvlText w:val="%8）"/>
      <w:lvlJc w:val="left"/>
      <w:pPr>
        <w:ind w:left="600" w:firstLine="402"/>
      </w:pPr>
      <w:rPr>
        <w:rFonts w:hint="eastAsia"/>
      </w:rPr>
    </w:lvl>
    <w:lvl w:ilvl="8" w:tentative="0">
      <w:start w:val="1"/>
      <w:numFmt w:val="lowerRoman"/>
      <w:pStyle w:val="11"/>
      <w:suff w:val="nothing"/>
      <w:lvlText w:val="%9 "/>
      <w:lvlJc w:val="left"/>
      <w:pPr>
        <w:ind w:left="600" w:firstLine="402"/>
      </w:pPr>
      <w:rPr>
        <w:rFonts w:hint="eastAsia"/>
      </w:rPr>
    </w:lvl>
  </w:abstractNum>
  <w:abstractNum w:abstractNumId="1">
    <w:nsid w:val="EA8FF6A8"/>
    <w:multiLevelType w:val="singleLevel"/>
    <w:tmpl w:val="EA8FF6A8"/>
    <w:lvl w:ilvl="0" w:tentative="0">
      <w:start w:val="1"/>
      <w:numFmt w:val="chineseCounting"/>
      <w:pStyle w:val="20"/>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0C07F6"/>
    <w:rsid w:val="001C2ECC"/>
    <w:rsid w:val="002E7A70"/>
    <w:rsid w:val="004D4065"/>
    <w:rsid w:val="004F788D"/>
    <w:rsid w:val="0056645C"/>
    <w:rsid w:val="00582B46"/>
    <w:rsid w:val="00645027"/>
    <w:rsid w:val="00741C76"/>
    <w:rsid w:val="00772CFD"/>
    <w:rsid w:val="00963AF6"/>
    <w:rsid w:val="009C7F1D"/>
    <w:rsid w:val="00AA321D"/>
    <w:rsid w:val="00B7018E"/>
    <w:rsid w:val="00B92FC9"/>
    <w:rsid w:val="00BB3F34"/>
    <w:rsid w:val="00C44B2E"/>
    <w:rsid w:val="00C55C62"/>
    <w:rsid w:val="00CC191D"/>
    <w:rsid w:val="00D16FFF"/>
    <w:rsid w:val="00EA260B"/>
    <w:rsid w:val="00ED7890"/>
    <w:rsid w:val="069B1317"/>
    <w:rsid w:val="1A3F7B5B"/>
    <w:rsid w:val="1A424B3D"/>
    <w:rsid w:val="1A6B7C27"/>
    <w:rsid w:val="1A992762"/>
    <w:rsid w:val="1CBE2CBA"/>
    <w:rsid w:val="1FBF361E"/>
    <w:rsid w:val="20A5308F"/>
    <w:rsid w:val="21101C84"/>
    <w:rsid w:val="222E4630"/>
    <w:rsid w:val="22816C88"/>
    <w:rsid w:val="23A37173"/>
    <w:rsid w:val="27E40338"/>
    <w:rsid w:val="299E5B4C"/>
    <w:rsid w:val="2A3F657F"/>
    <w:rsid w:val="2CEB6379"/>
    <w:rsid w:val="32A212EC"/>
    <w:rsid w:val="3332050E"/>
    <w:rsid w:val="3B401108"/>
    <w:rsid w:val="3C2E3A01"/>
    <w:rsid w:val="3EAB559B"/>
    <w:rsid w:val="410C07F6"/>
    <w:rsid w:val="43F666D6"/>
    <w:rsid w:val="4626455C"/>
    <w:rsid w:val="4A825A1C"/>
    <w:rsid w:val="4F5348DA"/>
    <w:rsid w:val="501B00BF"/>
    <w:rsid w:val="548127F4"/>
    <w:rsid w:val="5F3F5DA3"/>
    <w:rsid w:val="5F624606"/>
    <w:rsid w:val="61DD2D46"/>
    <w:rsid w:val="629D25DF"/>
    <w:rsid w:val="63BC7E4A"/>
    <w:rsid w:val="65FE3FD5"/>
    <w:rsid w:val="67EC27B5"/>
    <w:rsid w:val="682E0729"/>
    <w:rsid w:val="6B9D6530"/>
    <w:rsid w:val="70A05857"/>
    <w:rsid w:val="70A82D32"/>
    <w:rsid w:val="713A21B9"/>
    <w:rsid w:val="78767C35"/>
    <w:rsid w:val="78B13138"/>
    <w:rsid w:val="7A076AAA"/>
    <w:rsid w:val="7DC47C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Times New Roman" w:hAnsi="Times New Roman" w:eastAsia="仿宋_GB2312" w:cstheme="minorBidi"/>
      <w:kern w:val="2"/>
      <w:sz w:val="32"/>
      <w:szCs w:val="32"/>
      <w:lang w:val="en-US" w:eastAsia="zh-CN" w:bidi="ar-SA"/>
    </w:rPr>
  </w:style>
  <w:style w:type="paragraph" w:styleId="2">
    <w:name w:val="heading 1"/>
    <w:next w:val="3"/>
    <w:link w:val="16"/>
    <w:qFormat/>
    <w:uiPriority w:val="0"/>
    <w:pPr>
      <w:keepNext/>
      <w:keepLines/>
      <w:numPr>
        <w:ilvl w:val="0"/>
        <w:numId w:val="1"/>
      </w:numPr>
      <w:spacing w:before="240" w:after="240" w:line="416" w:lineRule="auto"/>
      <w:outlineLvl w:val="0"/>
    </w:pPr>
    <w:rPr>
      <w:rFonts w:eastAsia="黑体" w:asciiTheme="majorEastAsia" w:hAnsiTheme="majorEastAsia" w:cstheme="minorBidi"/>
      <w:b/>
      <w:bCs/>
      <w:kern w:val="44"/>
      <w:sz w:val="32"/>
      <w:szCs w:val="18"/>
      <w:lang w:val="en-US" w:eastAsia="zh-CN" w:bidi="ar-SA"/>
    </w:rPr>
  </w:style>
  <w:style w:type="paragraph" w:styleId="4">
    <w:name w:val="heading 2"/>
    <w:basedOn w:val="1"/>
    <w:next w:val="1"/>
    <w:link w:val="17"/>
    <w:semiHidden/>
    <w:unhideWhenUsed/>
    <w:qFormat/>
    <w:uiPriority w:val="0"/>
    <w:pPr>
      <w:numPr>
        <w:ilvl w:val="1"/>
        <w:numId w:val="1"/>
      </w:numPr>
      <w:tabs>
        <w:tab w:val="left" w:pos="0"/>
        <w:tab w:val="left" w:pos="105"/>
        <w:tab w:val="clear" w:pos="420"/>
      </w:tabs>
      <w:autoSpaceDE w:val="0"/>
      <w:autoSpaceDN w:val="0"/>
      <w:outlineLvl w:val="1"/>
    </w:pPr>
    <w:rPr>
      <w:rFonts w:eastAsia="楷体_GB2312" w:cs="Times New Roman"/>
      <w:szCs w:val="44"/>
    </w:rPr>
  </w:style>
  <w:style w:type="paragraph" w:styleId="5">
    <w:name w:val="heading 3"/>
    <w:basedOn w:val="1"/>
    <w:next w:val="1"/>
    <w:link w:val="18"/>
    <w:semiHidden/>
    <w:unhideWhenUsed/>
    <w:qFormat/>
    <w:uiPriority w:val="0"/>
    <w:pPr>
      <w:numPr>
        <w:ilvl w:val="2"/>
        <w:numId w:val="1"/>
      </w:numPr>
      <w:outlineLvl w:val="2"/>
    </w:pPr>
    <w:rPr>
      <w:rFonts w:cs="Times New Roman"/>
      <w:b/>
      <w:bCs/>
      <w:shd w:val="clear" w:color="auto" w:fill="FFFFFF"/>
    </w:rPr>
  </w:style>
  <w:style w:type="paragraph" w:styleId="6">
    <w:name w:val="heading 4"/>
    <w:basedOn w:val="1"/>
    <w:next w:val="1"/>
    <w:semiHidden/>
    <w:unhideWhenUsed/>
    <w:qFormat/>
    <w:uiPriority w:val="0"/>
    <w:pPr>
      <w:keepNext/>
      <w:keepLines/>
      <w:numPr>
        <w:ilvl w:val="3"/>
        <w:numId w:val="1"/>
      </w:numPr>
      <w:tabs>
        <w:tab w:val="left" w:pos="0"/>
      </w:tabs>
      <w:spacing w:before="280" w:after="290" w:line="372" w:lineRule="auto"/>
      <w:ind w:firstLine="0" w:firstLineChars="0"/>
      <w:outlineLvl w:val="3"/>
    </w:pPr>
    <w:rPr>
      <w:rFonts w:ascii="Arial" w:hAnsi="Arial" w:eastAsia="黑体"/>
      <w:b/>
      <w:sz w:val="28"/>
    </w:rPr>
  </w:style>
  <w:style w:type="paragraph" w:styleId="7">
    <w:name w:val="heading 5"/>
    <w:basedOn w:val="1"/>
    <w:next w:val="1"/>
    <w:link w:val="19"/>
    <w:semiHidden/>
    <w:unhideWhenUsed/>
    <w:qFormat/>
    <w:uiPriority w:val="0"/>
    <w:pPr>
      <w:keepNext/>
      <w:keepLines/>
      <w:numPr>
        <w:ilvl w:val="4"/>
        <w:numId w:val="1"/>
      </w:numPr>
      <w:ind w:firstLine="0" w:firstLineChars="0"/>
      <w:outlineLvl w:val="4"/>
    </w:pPr>
    <w:rPr>
      <w:rFonts w:ascii="仿宋" w:hAnsi="仿宋"/>
      <w:b/>
      <w:szCs w:val="28"/>
      <w:shd w:val="clear" w:color="auto" w:fill="FFFFFF"/>
    </w:rPr>
  </w:style>
  <w:style w:type="paragraph" w:styleId="8">
    <w:name w:val="heading 6"/>
    <w:basedOn w:val="1"/>
    <w:next w:val="1"/>
    <w:semiHidden/>
    <w:unhideWhenUsed/>
    <w:qFormat/>
    <w:uiPriority w:val="0"/>
    <w:pPr>
      <w:keepNext/>
      <w:keepLines/>
      <w:numPr>
        <w:ilvl w:val="5"/>
        <w:numId w:val="1"/>
      </w:numPr>
      <w:spacing w:before="240" w:after="64" w:line="317" w:lineRule="auto"/>
      <w:ind w:firstLine="0" w:firstLineChars="0"/>
      <w:outlineLvl w:val="5"/>
    </w:pPr>
    <w:rPr>
      <w:rFonts w:ascii="Arial" w:hAnsi="Arial" w:eastAsia="黑体"/>
      <w:b/>
      <w:sz w:val="24"/>
    </w:rPr>
  </w:style>
  <w:style w:type="paragraph" w:styleId="9">
    <w:name w:val="heading 7"/>
    <w:basedOn w:val="1"/>
    <w:next w:val="1"/>
    <w:semiHidden/>
    <w:unhideWhenUsed/>
    <w:qFormat/>
    <w:uiPriority w:val="0"/>
    <w:pPr>
      <w:keepNext/>
      <w:keepLines/>
      <w:numPr>
        <w:ilvl w:val="6"/>
        <w:numId w:val="1"/>
      </w:numPr>
      <w:spacing w:before="240" w:after="64" w:line="317" w:lineRule="auto"/>
      <w:ind w:firstLine="0" w:firstLineChars="0"/>
      <w:outlineLvl w:val="6"/>
    </w:pPr>
    <w:rPr>
      <w:b/>
      <w:sz w:val="24"/>
    </w:rPr>
  </w:style>
  <w:style w:type="paragraph" w:styleId="10">
    <w:name w:val="heading 8"/>
    <w:basedOn w:val="1"/>
    <w:next w:val="1"/>
    <w:semiHidden/>
    <w:unhideWhenUsed/>
    <w:qFormat/>
    <w:uiPriority w:val="0"/>
    <w:pPr>
      <w:keepNext/>
      <w:keepLines/>
      <w:numPr>
        <w:ilvl w:val="7"/>
        <w:numId w:val="1"/>
      </w:numPr>
      <w:spacing w:before="240" w:after="64" w:line="317" w:lineRule="auto"/>
      <w:ind w:firstLine="0" w:firstLineChars="0"/>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after="64" w:line="317" w:lineRule="auto"/>
      <w:ind w:firstLine="0" w:firstLineChars="0"/>
      <w:outlineLvl w:val="8"/>
    </w:pPr>
    <w:rPr>
      <w:rFonts w:ascii="Arial" w:hAnsi="Arial" w:eastAsia="黑体"/>
      <w:sz w:val="21"/>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12">
    <w:name w:val="caption"/>
    <w:basedOn w:val="1"/>
    <w:next w:val="1"/>
    <w:semiHidden/>
    <w:unhideWhenUsed/>
    <w:qFormat/>
    <w:uiPriority w:val="0"/>
    <w:pPr>
      <w:ind w:firstLine="0" w:firstLineChars="0"/>
      <w:jc w:val="center"/>
    </w:pPr>
    <w:rPr>
      <w:sz w:val="28"/>
      <w:szCs w:val="20"/>
      <w:shd w:val="clear" w:color="auto" w:fill="FFFFFF"/>
    </w:rPr>
  </w:style>
  <w:style w:type="paragraph" w:customStyle="1" w:styleId="15">
    <w:name w:val="标题1"/>
    <w:basedOn w:val="1"/>
    <w:next w:val="1"/>
    <w:qFormat/>
    <w:uiPriority w:val="0"/>
    <w:pPr>
      <w:keepNext/>
      <w:keepLines/>
      <w:spacing w:before="260" w:after="260" w:line="416" w:lineRule="auto"/>
      <w:outlineLvl w:val="1"/>
    </w:pPr>
    <w:rPr>
      <w:rFonts w:ascii="仿宋_GB2312" w:hAnsi="仿宋_GB2312" w:eastAsia="黑体" w:cs="Calibri"/>
      <w:b/>
      <w:bCs/>
    </w:rPr>
  </w:style>
  <w:style w:type="character" w:customStyle="1" w:styleId="16">
    <w:name w:val="标题 1 字符"/>
    <w:link w:val="2"/>
    <w:qFormat/>
    <w:uiPriority w:val="9"/>
    <w:rPr>
      <w:rFonts w:eastAsia="黑体" w:asciiTheme="majorEastAsia" w:hAnsiTheme="majorEastAsia" w:cstheme="minorBidi"/>
      <w:b/>
      <w:bCs/>
      <w:kern w:val="44"/>
      <w:sz w:val="32"/>
      <w:szCs w:val="18"/>
      <w:lang w:val="en-US" w:eastAsia="zh-CN" w:bidi="ar-SA"/>
    </w:rPr>
  </w:style>
  <w:style w:type="character" w:customStyle="1" w:styleId="17">
    <w:name w:val="标题 2 字符"/>
    <w:link w:val="4"/>
    <w:qFormat/>
    <w:uiPriority w:val="9"/>
    <w:rPr>
      <w:rFonts w:ascii="Times New Roman" w:hAnsi="Times New Roman" w:eastAsia="楷体_GB2312" w:cs="Times New Roman"/>
      <w:b/>
      <w:kern w:val="2"/>
      <w:sz w:val="30"/>
      <w:szCs w:val="44"/>
      <w:shd w:val="clear" w:color="auto" w:fill="auto"/>
      <w:lang w:val="en-US" w:eastAsia="zh-CN" w:bidi="ar-SA"/>
      <w14:ligatures w14:val="standardContextual"/>
    </w:rPr>
  </w:style>
  <w:style w:type="character" w:customStyle="1" w:styleId="18">
    <w:name w:val="标题 3 字符"/>
    <w:link w:val="5"/>
    <w:qFormat/>
    <w:uiPriority w:val="9"/>
    <w:rPr>
      <w:rFonts w:ascii="Times New Roman" w:hAnsi="Times New Roman" w:eastAsia="仿宋_GB2312" w:cs="Times New Roman"/>
      <w:b/>
      <w:kern w:val="2"/>
      <w:sz w:val="32"/>
      <w:szCs w:val="30"/>
      <w:shd w:val="clear" w:color="auto" w:fill="FFFFFF"/>
      <w:lang w:val="en-US" w:eastAsia="zh-CN" w:bidi="ar-SA"/>
    </w:rPr>
  </w:style>
  <w:style w:type="character" w:customStyle="1" w:styleId="19">
    <w:name w:val="标题 5 字符"/>
    <w:link w:val="7"/>
    <w:qFormat/>
    <w:uiPriority w:val="0"/>
    <w:rPr>
      <w:rFonts w:ascii="仿宋" w:hAnsi="仿宋" w:eastAsia="仿宋_GB2312"/>
      <w:b/>
      <w:kern w:val="2"/>
      <w:sz w:val="32"/>
      <w:szCs w:val="28"/>
      <w:shd w:val="clear" w:color="auto" w:fill="FFFFFF"/>
    </w:rPr>
  </w:style>
  <w:style w:type="paragraph" w:customStyle="1" w:styleId="20">
    <w:name w:val="一级"/>
    <w:basedOn w:val="1"/>
    <w:qFormat/>
    <w:uiPriority w:val="0"/>
    <w:pPr>
      <w:numPr>
        <w:ilvl w:val="0"/>
        <w:numId w:val="2"/>
      </w:numPr>
    </w:pPr>
    <w:rPr>
      <w:rFonts w:hint="eastAsia" w:eastAsia="黑体" w:cs="Times New Roman"/>
      <w:kern w:val="0"/>
    </w:rPr>
  </w:style>
  <w:style w:type="paragraph" w:customStyle="1" w:styleId="21">
    <w:name w:val="公文题目"/>
    <w:basedOn w:val="1"/>
    <w:qFormat/>
    <w:uiPriority w:val="0"/>
    <w:pPr>
      <w:ind w:firstLine="0" w:firstLineChars="0"/>
    </w:pPr>
    <w:rPr>
      <w:rFonts w:hint="eastAsia" w:eastAsia="方正小标宋简体"/>
      <w:sz w:val="44"/>
      <w:szCs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19AF1C-B100-499F-B4D7-C1958B5C0F5D}">
  <ds:schemaRefs/>
</ds:datastoreItem>
</file>

<file path=docProps/app.xml><?xml version="1.0" encoding="utf-8"?>
<Properties xmlns="http://schemas.openxmlformats.org/officeDocument/2006/extended-properties" xmlns:vt="http://schemas.openxmlformats.org/officeDocument/2006/docPropsVTypes">
  <Template>Normal.dotm</Template>
  <Pages>7</Pages>
  <Words>307</Words>
  <Characters>328</Characters>
  <Lines>196</Lines>
  <Paragraphs>194</Paragraphs>
  <TotalTime>12</TotalTime>
  <ScaleCrop>false</ScaleCrop>
  <LinksUpToDate>false</LinksUpToDate>
  <CharactersWithSpaces>337</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2026-10-16T07:35:00Z</dcterms:created>
  <dc:creator>杂食动物</dc:creator>
  <cp:lastModifiedBy>admin</cp:lastModifiedBy>
  <dcterms:modified xsi:type="dcterms:W3CDTF">2026-10-20T03:41:22Z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E7DB3685B82C4C698B4C8191EC56061F_11</vt:lpwstr>
  </property>
  <property fmtid="{D5CDD505-2E9C-101B-9397-08002B2CF9AE}" pid="4" name="KSOTemplateDocerSaveRecord">
    <vt:lpwstr>eyJoZGlkIjoiZDNiNWZkOGZkZTI3YjYzNmQxZTc2NTlkZWI4NmIzMzAiLCJ1c2VySWQiOiI0MDIxODcxNTUifQ==</vt:lpwstr>
  </property>
</Properties>
</file>