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1028F9">
      <w:pPr>
        <w:keepNext w:val="0"/>
        <w:keepLines w:val="0"/>
        <w:pageBreakBefore w:val="0"/>
        <w:widowControl/>
        <w:kinsoku/>
        <w:wordWrap/>
        <w:overflowPunct/>
        <w:topLinePunct w:val="0"/>
        <w:autoSpaceDE/>
        <w:autoSpaceDN/>
        <w:bidi w:val="0"/>
        <w:adjustRightInd/>
        <w:snapToGrid/>
        <w:spacing w:line="567" w:lineRule="exact"/>
        <w:jc w:val="center"/>
        <w:textAlignment w:val="auto"/>
        <w:rPr>
          <w:rFonts w:hint="eastAsia" w:ascii="方正小标宋简体" w:hAnsi="方正小标宋简体" w:eastAsia="方正小标宋简体" w:cs="方正小标宋简体"/>
          <w:color w:val="333333"/>
          <w:sz w:val="44"/>
          <w:szCs w:val="44"/>
          <w:shd w:val="clear" w:color="auto" w:fill="FFFFFF"/>
        </w:rPr>
      </w:pPr>
      <w:bookmarkStart w:id="66" w:name="_GoBack"/>
      <w:bookmarkEnd w:id="66"/>
      <w:bookmarkStart w:id="0" w:name="中华人民共和国医疗保障法"/>
      <w:bookmarkEnd w:id="0"/>
      <w:r>
        <w:rPr>
          <w:rFonts w:hint="eastAsia" w:ascii="方正小标宋简体" w:hAnsi="方正小标宋简体" w:eastAsia="方正小标宋简体" w:cs="方正小标宋简体"/>
          <w:color w:val="333333"/>
          <w:sz w:val="44"/>
          <w:szCs w:val="44"/>
          <w:shd w:val="clear" w:color="auto" w:fill="FFFFFF"/>
        </w:rPr>
        <w:t>中华人民共和国医疗保障法</w:t>
      </w:r>
    </w:p>
    <w:p w14:paraId="4C0C5850">
      <w:pPr>
        <w:rPr>
          <w:rFonts w:ascii="Times New Roman" w:hAnsi="Times New Roman" w:eastAsia="仿宋" w:cs="仿宋"/>
          <w:sz w:val="32"/>
          <w:szCs w:val="32"/>
        </w:rPr>
      </w:pPr>
    </w:p>
    <w:p w14:paraId="07D4C064">
      <w:pPr>
        <w:keepNext w:val="0"/>
        <w:keepLines w:val="0"/>
        <w:pageBreakBefore w:val="0"/>
        <w:widowControl/>
        <w:kinsoku/>
        <w:wordWrap/>
        <w:overflowPunct/>
        <w:topLinePunct w:val="0"/>
        <w:autoSpaceDE/>
        <w:autoSpaceDN/>
        <w:bidi w:val="0"/>
        <w:adjustRightInd/>
        <w:snapToGrid/>
        <w:ind w:left="632" w:leftChars="200" w:right="632" w:rightChars="200" w:firstLine="632" w:firstLineChars="200"/>
        <w:textAlignment w:val="auto"/>
        <w:rPr>
          <w:rFonts w:ascii="Times New Roman" w:hAnsi="Times New Roman" w:eastAsia="楷体_GB2312" w:cs="楷体_GB2312"/>
          <w:bCs/>
          <w:spacing w:val="6"/>
          <w:sz w:val="32"/>
          <w:szCs w:val="32"/>
          <w:shd w:val="clear" w:color="auto" w:fill="FFFFFF"/>
        </w:rPr>
      </w:pPr>
      <w:bookmarkStart w:id="1" w:name="题注"/>
      <w:bookmarkEnd w:id="1"/>
      <w:r>
        <w:rPr>
          <w:rFonts w:hint="eastAsia" w:ascii="Times New Roman" w:hAnsi="Times New Roman" w:eastAsia="楷体" w:cs="楷体"/>
          <w:bCs w:val="0"/>
          <w:spacing w:val="0"/>
          <w:sz w:val="32"/>
          <w:szCs w:val="32"/>
          <w:shd w:val="clear" w:color="auto" w:fill="FFFFFF"/>
        </w:rPr>
        <w:t>（2026年8月28日第十四届全国人民代表大会常务委员会第二十四次会议通过）</w:t>
      </w:r>
    </w:p>
    <w:p w14:paraId="0CC5DBAC">
      <w:pPr>
        <w:rPr>
          <w:rFonts w:ascii="Times New Roman" w:hAnsi="Times New Roman" w:eastAsia="仿宋" w:cs="仿宋"/>
          <w:sz w:val="32"/>
          <w:szCs w:val="32"/>
        </w:rPr>
      </w:pPr>
    </w:p>
    <w:p w14:paraId="57F2AA95">
      <w:pPr>
        <w:spacing w:line="240" w:lineRule="auto"/>
        <w:ind w:firstLine="0"/>
        <w:jc w:val="center"/>
        <w:rPr>
          <w:rFonts w:ascii="Times New Roman" w:hAnsi="Times New Roman"/>
        </w:rPr>
      </w:pPr>
      <w:bookmarkStart w:id="2" w:name="目录"/>
      <w:bookmarkEnd w:id="2"/>
      <w:r>
        <w:rPr>
          <w:rFonts w:ascii="Times New Roman" w:hAnsi="Times New Roman" w:eastAsia="楷体" w:cs="楷体"/>
          <w:sz w:val="32"/>
          <w:szCs w:val="32"/>
        </w:rPr>
        <w:t>目　　录</w:t>
      </w:r>
    </w:p>
    <w:p w14:paraId="4D38915F">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第一章　总　　则</w:t>
      </w:r>
    </w:p>
    <w:p w14:paraId="3CBC113A">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第二章　医疗保障体系</w:t>
      </w:r>
    </w:p>
    <w:p w14:paraId="392953C6">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第三章　医疗保障基金</w:t>
      </w:r>
    </w:p>
    <w:p w14:paraId="7748C3D1">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第四章　医疗保障服务</w:t>
      </w:r>
    </w:p>
    <w:p w14:paraId="4FEE50D5">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第五章　监督管理</w:t>
      </w:r>
    </w:p>
    <w:p w14:paraId="66567E5F">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第六章　法律责任</w:t>
      </w:r>
    </w:p>
    <w:p w14:paraId="4E986A8E">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第七章　附　　则</w:t>
      </w:r>
    </w:p>
    <w:p w14:paraId="6F0AA0D2">
      <w:pPr>
        <w:rPr>
          <w:rFonts w:ascii="Times New Roman" w:hAnsi="Times New Roman" w:eastAsia="仿宋" w:cs="仿宋"/>
          <w:sz w:val="32"/>
          <w:szCs w:val="32"/>
        </w:rPr>
      </w:pPr>
    </w:p>
    <w:p w14:paraId="5888BCF4">
      <w:pPr>
        <w:jc w:val="center"/>
        <w:rPr>
          <w:rFonts w:ascii="Times New Roman" w:hAnsi="Times New Roman" w:eastAsia="黑体" w:cs="黑体"/>
          <w:szCs w:val="32"/>
        </w:rPr>
      </w:pPr>
      <w:bookmarkStart w:id="3" w:name="第一章　总则"/>
      <w:bookmarkEnd w:id="3"/>
      <w:r>
        <w:rPr>
          <w:rFonts w:hint="eastAsia" w:ascii="Times New Roman" w:hAnsi="Times New Roman" w:eastAsia="黑体" w:cs="黑体"/>
          <w:sz w:val="32"/>
          <w:szCs w:val="32"/>
        </w:rPr>
        <w:t>第一章　总　　则</w:t>
      </w:r>
    </w:p>
    <w:p w14:paraId="6E1FF25A">
      <w:pPr>
        <w:rPr>
          <w:rFonts w:ascii="Times New Roman" w:hAnsi="Times New Roman" w:eastAsia="仿宋" w:cs="仿宋"/>
          <w:sz w:val="32"/>
          <w:szCs w:val="32"/>
        </w:rPr>
      </w:pPr>
    </w:p>
    <w:p w14:paraId="03D3F75D">
      <w:pPr>
        <w:ind w:firstLine="632" w:firstLineChars="200"/>
        <w:rPr>
          <w:rFonts w:ascii="Times New Roman" w:hAnsi="Times New Roman" w:cs="仿宋_GB2312"/>
          <w:sz w:val="32"/>
          <w:szCs w:val="32"/>
        </w:rPr>
      </w:pPr>
      <w:bookmarkStart w:id="4" w:name="第一条"/>
      <w:bookmarkEnd w:id="4"/>
      <w:r>
        <w:rPr>
          <w:rFonts w:hint="eastAsia" w:ascii="Times New Roman" w:hAnsi="Times New Roman" w:eastAsia="黑体" w:cs="黑体"/>
          <w:sz w:val="32"/>
          <w:szCs w:val="32"/>
        </w:rPr>
        <w:t>第一条</w:t>
      </w:r>
      <w:r>
        <w:rPr>
          <w:rFonts w:hint="eastAsia" w:ascii="Times New Roman" w:hAnsi="Times New Roman" w:eastAsia="仿宋" w:cs="仿宋"/>
          <w:sz w:val="32"/>
          <w:szCs w:val="32"/>
        </w:rPr>
        <w:t>　为了维护公民的医疗保障合法权益，规范医疗保障关系，优化医疗保障服务，健全多层次全民医疗保障体系，推动医疗保障工作高质量发展，落实健康优先发展战略、推进健康中国建设，根据宪法，制定本法。</w:t>
      </w:r>
    </w:p>
    <w:p w14:paraId="044B26C6">
      <w:pPr>
        <w:ind w:firstLine="632" w:firstLineChars="200"/>
        <w:rPr>
          <w:rFonts w:ascii="Times New Roman" w:hAnsi="Times New Roman" w:cs="仿宋_GB2312"/>
          <w:sz w:val="32"/>
          <w:szCs w:val="32"/>
        </w:rPr>
      </w:pPr>
      <w:bookmarkStart w:id="5" w:name="第二条"/>
      <w:bookmarkEnd w:id="5"/>
      <w:r>
        <w:rPr>
          <w:rFonts w:hint="eastAsia" w:ascii="Times New Roman" w:hAnsi="Times New Roman" w:eastAsia="黑体" w:cs="黑体"/>
          <w:sz w:val="32"/>
          <w:szCs w:val="32"/>
        </w:rPr>
        <w:t>第二条</w:t>
      </w:r>
      <w:r>
        <w:rPr>
          <w:rFonts w:hint="eastAsia" w:ascii="Times New Roman" w:hAnsi="Times New Roman" w:eastAsia="仿宋" w:cs="仿宋"/>
          <w:sz w:val="32"/>
          <w:szCs w:val="32"/>
        </w:rPr>
        <w:t>　在中华人民共和国境内从事医疗保障相关的筹资运行、待遇支付、公共服务、基金使用、监督管理等活动，适用本法；本法未作规定的，适用《中华人民共和国社会保险法》等法律、行政法规的有关规定。</w:t>
      </w:r>
    </w:p>
    <w:p w14:paraId="71335AFE">
      <w:pPr>
        <w:ind w:firstLine="632" w:firstLineChars="200"/>
        <w:rPr>
          <w:rFonts w:ascii="Times New Roman" w:hAnsi="Times New Roman" w:cs="仿宋_GB2312"/>
          <w:sz w:val="32"/>
          <w:szCs w:val="32"/>
        </w:rPr>
      </w:pPr>
      <w:bookmarkStart w:id="6" w:name="第三条"/>
      <w:bookmarkEnd w:id="6"/>
      <w:r>
        <w:rPr>
          <w:rFonts w:hint="eastAsia" w:ascii="Times New Roman" w:hAnsi="Times New Roman" w:eastAsia="黑体" w:cs="黑体"/>
          <w:sz w:val="32"/>
          <w:szCs w:val="32"/>
        </w:rPr>
        <w:t>第三条</w:t>
      </w:r>
      <w:r>
        <w:rPr>
          <w:rFonts w:hint="eastAsia" w:ascii="Times New Roman" w:hAnsi="Times New Roman" w:eastAsia="仿宋" w:cs="仿宋"/>
          <w:sz w:val="32"/>
          <w:szCs w:val="32"/>
        </w:rPr>
        <w:t>　医疗保障工作坚持中国共产党的领导，坚持以人民为中心，遵循覆盖全民、统筹城乡、公平统一、安全规范、多层次、可持续的原则。医疗保障水平应当与经济社会发展水平相适应。</w:t>
      </w:r>
    </w:p>
    <w:p w14:paraId="30547820">
      <w:pPr>
        <w:ind w:firstLine="632" w:firstLineChars="200"/>
        <w:rPr>
          <w:rFonts w:ascii="Times New Roman" w:hAnsi="Times New Roman" w:cs="仿宋_GB2312"/>
          <w:sz w:val="32"/>
          <w:szCs w:val="32"/>
        </w:rPr>
      </w:pPr>
      <w:bookmarkStart w:id="7" w:name="第四条"/>
      <w:bookmarkEnd w:id="7"/>
      <w:r>
        <w:rPr>
          <w:rFonts w:hint="eastAsia" w:ascii="Times New Roman" w:hAnsi="Times New Roman" w:eastAsia="黑体" w:cs="黑体"/>
          <w:sz w:val="32"/>
          <w:szCs w:val="32"/>
        </w:rPr>
        <w:t>第四条</w:t>
      </w:r>
      <w:r>
        <w:rPr>
          <w:rFonts w:hint="eastAsia" w:ascii="Times New Roman" w:hAnsi="Times New Roman" w:eastAsia="仿宋" w:cs="仿宋"/>
          <w:sz w:val="32"/>
          <w:szCs w:val="32"/>
        </w:rPr>
        <w:t>　公民有依法参加基本医疗保险的权利和义务，按照规定享受相应的医疗保障待遇。</w:t>
      </w:r>
    </w:p>
    <w:p w14:paraId="0BDFB98A">
      <w:pPr>
        <w:ind w:firstLine="632" w:firstLineChars="200"/>
        <w:rPr>
          <w:rFonts w:ascii="Times New Roman" w:hAnsi="Times New Roman" w:cs="仿宋_GB2312"/>
          <w:sz w:val="32"/>
          <w:szCs w:val="32"/>
        </w:rPr>
      </w:pPr>
      <w:bookmarkStart w:id="8" w:name="第五条"/>
      <w:bookmarkEnd w:id="8"/>
      <w:r>
        <w:rPr>
          <w:rFonts w:hint="eastAsia" w:ascii="Times New Roman" w:hAnsi="Times New Roman" w:eastAsia="黑体" w:cs="黑体"/>
          <w:sz w:val="32"/>
          <w:szCs w:val="32"/>
        </w:rPr>
        <w:t>第五条</w:t>
      </w:r>
      <w:r>
        <w:rPr>
          <w:rFonts w:hint="eastAsia" w:ascii="Times New Roman" w:hAnsi="Times New Roman" w:eastAsia="仿宋" w:cs="仿宋"/>
          <w:sz w:val="32"/>
          <w:szCs w:val="32"/>
        </w:rPr>
        <w:t>　县级以上人民政府加强对医疗保障工作的领导，强化医疗保障能力建设，促进医疗、医保、医药协同发展和治理，统筹协调、研究解决医疗保障工作中的重大问题。</w:t>
      </w:r>
    </w:p>
    <w:p w14:paraId="025CB6FC">
      <w:pPr>
        <w:ind w:firstLine="632" w:firstLineChars="200"/>
        <w:rPr>
          <w:rFonts w:ascii="Times New Roman" w:hAnsi="Times New Roman" w:cs="仿宋_GB2312"/>
          <w:sz w:val="32"/>
          <w:szCs w:val="32"/>
        </w:rPr>
      </w:pPr>
      <w:bookmarkStart w:id="9" w:name="第六条"/>
      <w:bookmarkEnd w:id="9"/>
      <w:r>
        <w:rPr>
          <w:rFonts w:hint="eastAsia" w:ascii="Times New Roman" w:hAnsi="Times New Roman" w:eastAsia="黑体" w:cs="黑体"/>
          <w:sz w:val="32"/>
          <w:szCs w:val="32"/>
        </w:rPr>
        <w:t>第六条</w:t>
      </w:r>
      <w:r>
        <w:rPr>
          <w:rFonts w:hint="eastAsia" w:ascii="Times New Roman" w:hAnsi="Times New Roman" w:eastAsia="仿宋" w:cs="仿宋"/>
          <w:sz w:val="32"/>
          <w:szCs w:val="32"/>
        </w:rPr>
        <w:t>　国务院医疗保障行政部门在职责范围内负责全国的医疗保障管理工作。国务院其他有关部门在各自职责范围内负责有关的医疗保障工作。</w:t>
      </w:r>
    </w:p>
    <w:p w14:paraId="07029BBD">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县级以上地方人民政府医疗保障行政部门在职责范围内负责本行政区域的医疗保障管理工作。县级以上地方人民政府其他有关部门在各自职责范围内负责有关的医疗保障工作。</w:t>
      </w:r>
    </w:p>
    <w:p w14:paraId="31B9CFC0">
      <w:pPr>
        <w:ind w:firstLine="632" w:firstLineChars="200"/>
        <w:rPr>
          <w:rFonts w:ascii="Times New Roman" w:hAnsi="Times New Roman" w:cs="仿宋_GB2312"/>
          <w:sz w:val="32"/>
          <w:szCs w:val="32"/>
        </w:rPr>
      </w:pPr>
      <w:bookmarkStart w:id="10" w:name="第七条"/>
      <w:bookmarkEnd w:id="10"/>
      <w:r>
        <w:rPr>
          <w:rFonts w:hint="eastAsia" w:ascii="Times New Roman" w:hAnsi="Times New Roman" w:eastAsia="黑体" w:cs="黑体"/>
          <w:sz w:val="32"/>
          <w:szCs w:val="32"/>
        </w:rPr>
        <w:t>第七条</w:t>
      </w:r>
      <w:r>
        <w:rPr>
          <w:rFonts w:hint="eastAsia" w:ascii="Times New Roman" w:hAnsi="Times New Roman" w:eastAsia="仿宋" w:cs="仿宋"/>
          <w:sz w:val="32"/>
          <w:szCs w:val="32"/>
        </w:rPr>
        <w:t>　国家加强医疗保障法律法规和医疗保障知识的宣传教育，引导公民树立和践行健康管理理念，提高健康素养、医疗保障法治意识和参保意识。</w:t>
      </w:r>
    </w:p>
    <w:p w14:paraId="26BB1573">
      <w:pPr>
        <w:rPr>
          <w:rFonts w:ascii="Times New Roman" w:hAnsi="Times New Roman" w:eastAsia="仿宋" w:cs="仿宋"/>
          <w:sz w:val="32"/>
          <w:szCs w:val="32"/>
        </w:rPr>
      </w:pPr>
    </w:p>
    <w:p w14:paraId="6FEAF131">
      <w:pPr>
        <w:jc w:val="center"/>
        <w:rPr>
          <w:rFonts w:ascii="Times New Roman" w:hAnsi="Times New Roman" w:eastAsia="黑体" w:cs="黑体"/>
          <w:szCs w:val="32"/>
        </w:rPr>
      </w:pPr>
      <w:bookmarkStart w:id="11" w:name="第二章　医疗保障体系"/>
      <w:bookmarkEnd w:id="11"/>
      <w:r>
        <w:rPr>
          <w:rFonts w:hint="eastAsia" w:ascii="Times New Roman" w:hAnsi="Times New Roman" w:eastAsia="黑体" w:cs="黑体"/>
          <w:sz w:val="32"/>
          <w:szCs w:val="32"/>
        </w:rPr>
        <w:t>第二章　医疗保障体系</w:t>
      </w:r>
    </w:p>
    <w:p w14:paraId="1EFF2295">
      <w:pPr>
        <w:rPr>
          <w:rFonts w:ascii="Times New Roman" w:hAnsi="Times New Roman" w:eastAsia="仿宋" w:cs="仿宋"/>
          <w:sz w:val="32"/>
          <w:szCs w:val="32"/>
        </w:rPr>
      </w:pPr>
    </w:p>
    <w:p w14:paraId="4013C94C">
      <w:pPr>
        <w:ind w:firstLine="632" w:firstLineChars="200"/>
        <w:rPr>
          <w:rFonts w:ascii="Times New Roman" w:hAnsi="Times New Roman" w:cs="仿宋_GB2312"/>
          <w:sz w:val="32"/>
          <w:szCs w:val="32"/>
        </w:rPr>
      </w:pPr>
      <w:bookmarkStart w:id="12" w:name="第八条"/>
      <w:bookmarkEnd w:id="12"/>
      <w:r>
        <w:rPr>
          <w:rFonts w:hint="eastAsia" w:ascii="Times New Roman" w:hAnsi="Times New Roman" w:eastAsia="黑体" w:cs="黑体"/>
          <w:sz w:val="32"/>
          <w:szCs w:val="32"/>
        </w:rPr>
        <w:t>第八条</w:t>
      </w:r>
      <w:r>
        <w:rPr>
          <w:rFonts w:hint="eastAsia" w:ascii="Times New Roman" w:hAnsi="Times New Roman" w:eastAsia="仿宋" w:cs="仿宋"/>
          <w:sz w:val="32"/>
          <w:szCs w:val="32"/>
        </w:rPr>
        <w:t>　国家建立健全以基本医疗保险为主体的多层次全民医疗保障体系。</w:t>
      </w:r>
    </w:p>
    <w:p w14:paraId="03508710">
      <w:pPr>
        <w:ind w:firstLine="632" w:firstLineChars="200"/>
        <w:rPr>
          <w:rFonts w:ascii="Times New Roman" w:hAnsi="Times New Roman" w:cs="仿宋_GB2312"/>
          <w:sz w:val="32"/>
          <w:szCs w:val="32"/>
        </w:rPr>
      </w:pPr>
      <w:bookmarkStart w:id="13" w:name="第九条"/>
      <w:bookmarkEnd w:id="13"/>
      <w:r>
        <w:rPr>
          <w:rFonts w:hint="eastAsia" w:ascii="Times New Roman" w:hAnsi="Times New Roman" w:eastAsia="黑体" w:cs="黑体"/>
          <w:sz w:val="32"/>
          <w:szCs w:val="32"/>
        </w:rPr>
        <w:t>第九条</w:t>
      </w:r>
      <w:r>
        <w:rPr>
          <w:rFonts w:hint="eastAsia" w:ascii="Times New Roman" w:hAnsi="Times New Roman" w:eastAsia="仿宋" w:cs="仿宋"/>
          <w:sz w:val="32"/>
          <w:szCs w:val="32"/>
        </w:rPr>
        <w:t>　基本医疗保险包括职工基本医疗保险和城乡居民基本医疗保险。国家逐步完善基本医疗保险制度，加强统筹协调，促进公平统一。</w:t>
      </w:r>
    </w:p>
    <w:p w14:paraId="079EBB0C">
      <w:pPr>
        <w:ind w:firstLine="632" w:firstLineChars="200"/>
        <w:rPr>
          <w:rFonts w:ascii="Times New Roman" w:hAnsi="Times New Roman" w:cs="仿宋_GB2312"/>
          <w:sz w:val="32"/>
          <w:szCs w:val="32"/>
        </w:rPr>
      </w:pPr>
      <w:bookmarkStart w:id="14" w:name="第十条"/>
      <w:bookmarkEnd w:id="14"/>
      <w:r>
        <w:rPr>
          <w:rFonts w:hint="eastAsia" w:ascii="Times New Roman" w:hAnsi="Times New Roman" w:eastAsia="黑体" w:cs="黑体"/>
          <w:sz w:val="32"/>
          <w:szCs w:val="32"/>
        </w:rPr>
        <w:t>第十条</w:t>
      </w:r>
      <w:r>
        <w:rPr>
          <w:rFonts w:hint="eastAsia" w:ascii="Times New Roman" w:hAnsi="Times New Roman" w:eastAsia="仿宋" w:cs="仿宋"/>
          <w:sz w:val="32"/>
          <w:szCs w:val="32"/>
        </w:rPr>
        <w:t>　职工应当参加职工基本医疗保险。职工基本医疗保险费由用人单位和职工共同缴纳。</w:t>
      </w:r>
    </w:p>
    <w:p w14:paraId="12D7F5E4">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鼓励无雇工的个体工商户、未在用人单位参加职工基本医疗保险的非全日制从业人员以及其他灵活就业人员参加职工基本医疗保险。具体办法由国务院医疗保障行政部门会同国务院有关部门制定。</w:t>
      </w:r>
    </w:p>
    <w:p w14:paraId="46B4BCF1">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职工基本医疗保险的缴费标准，由统筹地区人民政府按照国家规定的缴费基数和基准费率范围确定。</w:t>
      </w:r>
    </w:p>
    <w:p w14:paraId="2D442BBF">
      <w:pPr>
        <w:ind w:firstLine="632" w:firstLineChars="200"/>
        <w:rPr>
          <w:rFonts w:ascii="Times New Roman" w:hAnsi="Times New Roman" w:cs="仿宋_GB2312"/>
          <w:sz w:val="32"/>
          <w:szCs w:val="32"/>
        </w:rPr>
      </w:pPr>
      <w:bookmarkStart w:id="15" w:name="第十一条"/>
      <w:bookmarkEnd w:id="15"/>
      <w:r>
        <w:rPr>
          <w:rFonts w:hint="eastAsia" w:ascii="Times New Roman" w:hAnsi="Times New Roman" w:eastAsia="黑体" w:cs="黑体"/>
          <w:sz w:val="32"/>
          <w:szCs w:val="32"/>
        </w:rPr>
        <w:t>第十一条</w:t>
      </w:r>
      <w:r>
        <w:rPr>
          <w:rFonts w:hint="eastAsia" w:ascii="Times New Roman" w:hAnsi="Times New Roman" w:eastAsia="仿宋" w:cs="仿宋"/>
          <w:sz w:val="32"/>
          <w:szCs w:val="32"/>
        </w:rPr>
        <w:t>　未参加职工基本医疗保险且未享有国家其他医疗保障的公民应当参加城乡居民基本医疗保险。</w:t>
      </w:r>
    </w:p>
    <w:p w14:paraId="748975D7">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城乡居民基本医疗保险实行个人缴费和政府补助相结合，缴费标准与经济社会发展水平、居民人均可支配收入水平相衔接，合理划分个人和政府的筹资责任。</w:t>
      </w:r>
    </w:p>
    <w:p w14:paraId="713A6D02">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城乡居民基本医疗保险的个人缴费、政府补助标准，由省、自治区、直辖市人民政府医疗保障行政部门、财政部门按照国家规定确定，或者指导统筹地区人民政府医疗保障行政部门、财政部门按照国家规定确定。</w:t>
      </w:r>
    </w:p>
    <w:p w14:paraId="3C0FF667">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特困人员、最低生活保障家庭成员、符合条件的防止返贫致贫对象等参加城乡居民基本医疗保险的，其个人缴费部分按照规定给予资助。</w:t>
      </w:r>
    </w:p>
    <w:p w14:paraId="6479A111">
      <w:pPr>
        <w:ind w:firstLine="632" w:firstLineChars="200"/>
        <w:rPr>
          <w:rFonts w:ascii="Times New Roman" w:hAnsi="Times New Roman" w:cs="仿宋_GB2312"/>
          <w:sz w:val="32"/>
          <w:szCs w:val="32"/>
        </w:rPr>
      </w:pPr>
      <w:bookmarkStart w:id="16" w:name="第十二条"/>
      <w:bookmarkEnd w:id="16"/>
      <w:r>
        <w:rPr>
          <w:rFonts w:hint="eastAsia" w:ascii="Times New Roman" w:hAnsi="Times New Roman" w:eastAsia="黑体" w:cs="黑体"/>
          <w:sz w:val="32"/>
          <w:szCs w:val="32"/>
        </w:rPr>
        <w:t>第十二条</w:t>
      </w:r>
      <w:r>
        <w:rPr>
          <w:rFonts w:hint="eastAsia" w:ascii="Times New Roman" w:hAnsi="Times New Roman" w:eastAsia="仿宋" w:cs="仿宋"/>
          <w:sz w:val="32"/>
          <w:szCs w:val="32"/>
        </w:rPr>
        <w:t>　国家建立健全参保长效机制，优化参保服务，完善激励约束措施，促进参保人员连续参保。</w:t>
      </w:r>
    </w:p>
    <w:p w14:paraId="11268961">
      <w:pPr>
        <w:ind w:firstLine="632" w:firstLineChars="200"/>
        <w:rPr>
          <w:rFonts w:ascii="Times New Roman" w:hAnsi="Times New Roman" w:cs="仿宋_GB2312"/>
          <w:sz w:val="32"/>
          <w:szCs w:val="32"/>
        </w:rPr>
      </w:pPr>
      <w:bookmarkStart w:id="17" w:name="第十三条"/>
      <w:bookmarkEnd w:id="17"/>
      <w:r>
        <w:rPr>
          <w:rFonts w:hint="eastAsia" w:ascii="Times New Roman" w:hAnsi="Times New Roman" w:eastAsia="黑体" w:cs="黑体"/>
          <w:sz w:val="32"/>
          <w:szCs w:val="32"/>
        </w:rPr>
        <w:t>第十三条</w:t>
      </w:r>
      <w:r>
        <w:rPr>
          <w:rFonts w:hint="eastAsia" w:ascii="Times New Roman" w:hAnsi="Times New Roman" w:eastAsia="仿宋" w:cs="仿宋"/>
          <w:sz w:val="32"/>
          <w:szCs w:val="32"/>
        </w:rPr>
        <w:t>　基本医疗保险为参保人员提供公平适度的待遇保障，待遇标准由省、自治区、直辖市人民政府医疗保障行政部门、财政部门按照国家规定确定，或者指导统筹地区人民政府医疗保障行政部门、财政部门按照国家规定确定。基本医疗保险的待遇标准应当有利于分级诊疗体系的发展。</w:t>
      </w:r>
    </w:p>
    <w:p w14:paraId="02B6FF24">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基本医疗保险参保人员发生的符合基本医疗保险药品、医用耗材、医疗服务项目等目录的医药费用，以及法律规定或者国务院确定的其他费用，按照国家规定从基本医疗保险基金中支付。</w:t>
      </w:r>
    </w:p>
    <w:p w14:paraId="4522A50C">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基本医疗保险参保人员享受待遇的起始时间，由省、自治区、直辖市按照国家规定确定。</w:t>
      </w:r>
    </w:p>
    <w:p w14:paraId="155C4D5D">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参保人员不得重复参加基本医疗保险，不重复享受基本医疗保险待遇。</w:t>
      </w:r>
    </w:p>
    <w:p w14:paraId="02CF06A0">
      <w:pPr>
        <w:ind w:firstLine="632" w:firstLineChars="200"/>
        <w:rPr>
          <w:rFonts w:ascii="Times New Roman" w:hAnsi="Times New Roman" w:cs="仿宋_GB2312"/>
          <w:sz w:val="32"/>
          <w:szCs w:val="32"/>
        </w:rPr>
      </w:pPr>
      <w:bookmarkStart w:id="18" w:name="第十四条"/>
      <w:bookmarkEnd w:id="18"/>
      <w:r>
        <w:rPr>
          <w:rFonts w:hint="eastAsia" w:ascii="Times New Roman" w:hAnsi="Times New Roman" w:eastAsia="黑体" w:cs="黑体"/>
          <w:sz w:val="32"/>
          <w:szCs w:val="32"/>
        </w:rPr>
        <w:t>第十四条</w:t>
      </w:r>
      <w:r>
        <w:rPr>
          <w:rFonts w:hint="eastAsia" w:ascii="Times New Roman" w:hAnsi="Times New Roman" w:eastAsia="仿宋" w:cs="仿宋"/>
          <w:sz w:val="32"/>
          <w:szCs w:val="32"/>
        </w:rPr>
        <w:t>　职工应当参加生育保险。生育保险费由用人单位缴纳，职工不缴纳。生育保险费与职工基本医疗保险费统一征缴。生育保险基金与职工基本医疗保险基金合并建账。</w:t>
      </w:r>
    </w:p>
    <w:p w14:paraId="2E30152E">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国家完善生育保险制度，推进扩大生育保险覆盖范围。</w:t>
      </w:r>
    </w:p>
    <w:p w14:paraId="1CFC1043">
      <w:pPr>
        <w:ind w:firstLine="632" w:firstLineChars="200"/>
        <w:rPr>
          <w:rFonts w:ascii="Times New Roman" w:hAnsi="Times New Roman" w:cs="仿宋_GB2312"/>
          <w:sz w:val="32"/>
          <w:szCs w:val="32"/>
        </w:rPr>
      </w:pPr>
      <w:bookmarkStart w:id="19" w:name="第十五条"/>
      <w:bookmarkEnd w:id="19"/>
      <w:r>
        <w:rPr>
          <w:rFonts w:hint="eastAsia" w:ascii="Times New Roman" w:hAnsi="Times New Roman" w:eastAsia="黑体" w:cs="黑体"/>
          <w:sz w:val="32"/>
          <w:szCs w:val="32"/>
        </w:rPr>
        <w:t>第十五条</w:t>
      </w:r>
      <w:r>
        <w:rPr>
          <w:rFonts w:hint="eastAsia" w:ascii="Times New Roman" w:hAnsi="Times New Roman" w:eastAsia="仿宋" w:cs="仿宋"/>
          <w:sz w:val="32"/>
          <w:szCs w:val="32"/>
        </w:rPr>
        <w:t>　生育保险参保人员按照国家规定享受生育医疗费用和生育津贴待遇，其未就业配偶按照国家规定享受生育医疗费用待遇，所需资金从职工基本医疗保险基金中支付。</w:t>
      </w:r>
    </w:p>
    <w:p w14:paraId="1726FA12">
      <w:pPr>
        <w:ind w:firstLine="632" w:firstLineChars="200"/>
        <w:rPr>
          <w:rFonts w:ascii="Times New Roman" w:hAnsi="Times New Roman" w:cs="仿宋_GB2312"/>
          <w:sz w:val="32"/>
          <w:szCs w:val="32"/>
        </w:rPr>
      </w:pPr>
      <w:bookmarkStart w:id="20" w:name="第十六条"/>
      <w:bookmarkEnd w:id="20"/>
      <w:r>
        <w:rPr>
          <w:rFonts w:hint="eastAsia" w:ascii="Times New Roman" w:hAnsi="Times New Roman" w:eastAsia="黑体" w:cs="黑体"/>
          <w:sz w:val="32"/>
          <w:szCs w:val="32"/>
        </w:rPr>
        <w:t>第十六条</w:t>
      </w:r>
      <w:r>
        <w:rPr>
          <w:rFonts w:hint="eastAsia" w:ascii="Times New Roman" w:hAnsi="Times New Roman" w:eastAsia="仿宋" w:cs="仿宋"/>
          <w:sz w:val="32"/>
          <w:szCs w:val="32"/>
        </w:rPr>
        <w:t>　职工大额医疗费用补助对职工基本医疗保险参保人员发生的高额医药费用予以进一步保障。居民大病保险对城乡居民基本医疗保险参保人员发生的高额医药费用予以进一步保障。</w:t>
      </w:r>
    </w:p>
    <w:p w14:paraId="408FEF11">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职工大额医疗费用补助、居民大病保险的具体筹资方式、保障范围以及待遇标准，由省、自治区、直辖市人民政府医疗保障行政部门会同同级财政部门按照国家规定确定。</w:t>
      </w:r>
    </w:p>
    <w:p w14:paraId="01DC00AA">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鼓励用人单位为职工建立企业补充医疗保险。</w:t>
      </w:r>
    </w:p>
    <w:p w14:paraId="64CCCB11">
      <w:pPr>
        <w:ind w:firstLine="632" w:firstLineChars="200"/>
        <w:rPr>
          <w:rFonts w:ascii="Times New Roman" w:hAnsi="Times New Roman" w:cs="仿宋_GB2312"/>
          <w:sz w:val="32"/>
          <w:szCs w:val="32"/>
        </w:rPr>
      </w:pPr>
      <w:bookmarkStart w:id="21" w:name="第十七条"/>
      <w:bookmarkEnd w:id="21"/>
      <w:r>
        <w:rPr>
          <w:rFonts w:hint="eastAsia" w:ascii="Times New Roman" w:hAnsi="Times New Roman" w:eastAsia="黑体" w:cs="黑体"/>
          <w:sz w:val="32"/>
          <w:szCs w:val="32"/>
        </w:rPr>
        <w:t>第十七条</w:t>
      </w:r>
      <w:r>
        <w:rPr>
          <w:rFonts w:hint="eastAsia" w:ascii="Times New Roman" w:hAnsi="Times New Roman" w:eastAsia="仿宋" w:cs="仿宋"/>
          <w:sz w:val="32"/>
          <w:szCs w:val="32"/>
        </w:rPr>
        <w:t>　对符合医疗救助条件的困难人员给予相应的医疗救助。医疗救助的对象、方式和标准，依照有关医疗救助的法律、法规规定执行。</w:t>
      </w:r>
    </w:p>
    <w:p w14:paraId="53E54191">
      <w:pPr>
        <w:ind w:firstLine="632" w:firstLineChars="200"/>
        <w:rPr>
          <w:rFonts w:ascii="Times New Roman" w:hAnsi="Times New Roman" w:cs="仿宋_GB2312"/>
          <w:sz w:val="32"/>
          <w:szCs w:val="32"/>
        </w:rPr>
      </w:pPr>
      <w:bookmarkStart w:id="22" w:name="第十八条"/>
      <w:bookmarkEnd w:id="22"/>
      <w:r>
        <w:rPr>
          <w:rFonts w:hint="eastAsia" w:ascii="Times New Roman" w:hAnsi="Times New Roman" w:eastAsia="黑体" w:cs="黑体"/>
          <w:sz w:val="32"/>
          <w:szCs w:val="32"/>
        </w:rPr>
        <w:t>第十八条</w:t>
      </w:r>
      <w:r>
        <w:rPr>
          <w:rFonts w:hint="eastAsia" w:ascii="Times New Roman" w:hAnsi="Times New Roman" w:eastAsia="仿宋" w:cs="仿宋"/>
          <w:sz w:val="32"/>
          <w:szCs w:val="32"/>
        </w:rPr>
        <w:t>　国家鼓励发展商业健康保险、与医疗保障有关的慈善捐赠、医疗互助等，满足多样化健康保障需求。</w:t>
      </w:r>
    </w:p>
    <w:p w14:paraId="03A67D16">
      <w:pPr>
        <w:rPr>
          <w:rFonts w:ascii="Times New Roman" w:hAnsi="Times New Roman" w:eastAsia="仿宋" w:cs="仿宋"/>
          <w:sz w:val="32"/>
          <w:szCs w:val="32"/>
        </w:rPr>
      </w:pPr>
    </w:p>
    <w:p w14:paraId="5C66E690">
      <w:pPr>
        <w:jc w:val="center"/>
        <w:rPr>
          <w:rFonts w:ascii="Times New Roman" w:hAnsi="Times New Roman" w:eastAsia="黑体" w:cs="黑体"/>
          <w:szCs w:val="32"/>
        </w:rPr>
      </w:pPr>
      <w:bookmarkStart w:id="23" w:name="第三章　医疗保障基金"/>
      <w:bookmarkEnd w:id="23"/>
      <w:r>
        <w:rPr>
          <w:rFonts w:hint="eastAsia" w:ascii="Times New Roman" w:hAnsi="Times New Roman" w:eastAsia="黑体" w:cs="黑体"/>
          <w:sz w:val="32"/>
          <w:szCs w:val="32"/>
        </w:rPr>
        <w:t>第三章　医疗保障基金</w:t>
      </w:r>
    </w:p>
    <w:p w14:paraId="12A69842">
      <w:pPr>
        <w:rPr>
          <w:rFonts w:ascii="Times New Roman" w:hAnsi="Times New Roman" w:eastAsia="仿宋" w:cs="仿宋"/>
          <w:sz w:val="32"/>
          <w:szCs w:val="32"/>
        </w:rPr>
      </w:pPr>
    </w:p>
    <w:p w14:paraId="2EAA38EE">
      <w:pPr>
        <w:ind w:firstLine="632" w:firstLineChars="200"/>
        <w:rPr>
          <w:rFonts w:ascii="Times New Roman" w:hAnsi="Times New Roman" w:cs="仿宋_GB2312"/>
          <w:sz w:val="32"/>
          <w:szCs w:val="32"/>
        </w:rPr>
      </w:pPr>
      <w:bookmarkStart w:id="24" w:name="第十九条"/>
      <w:bookmarkEnd w:id="24"/>
      <w:r>
        <w:rPr>
          <w:rFonts w:hint="eastAsia" w:ascii="Times New Roman" w:hAnsi="Times New Roman" w:eastAsia="黑体" w:cs="黑体"/>
          <w:sz w:val="32"/>
          <w:szCs w:val="32"/>
        </w:rPr>
        <w:t>第十九条</w:t>
      </w:r>
      <w:r>
        <w:rPr>
          <w:rFonts w:hint="eastAsia" w:ascii="Times New Roman" w:hAnsi="Times New Roman" w:eastAsia="仿宋" w:cs="仿宋"/>
          <w:sz w:val="32"/>
          <w:szCs w:val="32"/>
        </w:rPr>
        <w:t>　医疗保障基金包括基本医疗保险基金、医疗救助基金等。</w:t>
      </w:r>
    </w:p>
    <w:p w14:paraId="7EE23903">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医疗保障基金应当执行国家统一的财务和会计制度，专款专用，任何单位和个人不得隐匿、转移、侵占、挪用。</w:t>
      </w:r>
    </w:p>
    <w:p w14:paraId="4135AFAF">
      <w:pPr>
        <w:ind w:firstLine="632" w:firstLineChars="200"/>
        <w:rPr>
          <w:rFonts w:ascii="Times New Roman" w:hAnsi="Times New Roman" w:cs="仿宋_GB2312"/>
          <w:sz w:val="32"/>
          <w:szCs w:val="32"/>
        </w:rPr>
      </w:pPr>
      <w:bookmarkStart w:id="25" w:name="第二十条"/>
      <w:bookmarkEnd w:id="25"/>
      <w:r>
        <w:rPr>
          <w:rFonts w:hint="eastAsia" w:ascii="Times New Roman" w:hAnsi="Times New Roman" w:eastAsia="黑体" w:cs="黑体"/>
          <w:sz w:val="32"/>
          <w:szCs w:val="32"/>
        </w:rPr>
        <w:t>第二十条</w:t>
      </w:r>
      <w:r>
        <w:rPr>
          <w:rFonts w:hint="eastAsia" w:ascii="Times New Roman" w:hAnsi="Times New Roman" w:eastAsia="仿宋" w:cs="仿宋"/>
          <w:sz w:val="32"/>
          <w:szCs w:val="32"/>
        </w:rPr>
        <w:t>　税务机关应当按照规定征缴基本医疗保险费（含生育保险费）。基本医疗保险基金纳入社会保障基金财政专户管理。</w:t>
      </w:r>
    </w:p>
    <w:p w14:paraId="6D45F155">
      <w:pPr>
        <w:ind w:firstLine="632" w:firstLineChars="200"/>
        <w:rPr>
          <w:rFonts w:ascii="Times New Roman" w:hAnsi="Times New Roman" w:cs="仿宋_GB2312"/>
          <w:sz w:val="32"/>
          <w:szCs w:val="32"/>
        </w:rPr>
      </w:pPr>
      <w:bookmarkStart w:id="26" w:name="第二十一条"/>
      <w:bookmarkEnd w:id="26"/>
      <w:r>
        <w:rPr>
          <w:rFonts w:hint="eastAsia" w:ascii="Times New Roman" w:hAnsi="Times New Roman" w:eastAsia="黑体" w:cs="黑体"/>
          <w:sz w:val="32"/>
          <w:szCs w:val="32"/>
        </w:rPr>
        <w:t>第二十一条</w:t>
      </w:r>
      <w:r>
        <w:rPr>
          <w:rFonts w:hint="eastAsia" w:ascii="Times New Roman" w:hAnsi="Times New Roman" w:eastAsia="仿宋" w:cs="仿宋"/>
          <w:sz w:val="32"/>
          <w:szCs w:val="32"/>
        </w:rPr>
        <w:t>　医疗救助基金通过财政预算、社会捐赠等多渠道筹集，实行专项管理、专账核算，纳入社会保障基金财政专户管理。</w:t>
      </w:r>
    </w:p>
    <w:p w14:paraId="21902F72">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县级以上地方人民政府根据经济社会发展水平和财力状况，合理安排医疗救助补助资金。</w:t>
      </w:r>
    </w:p>
    <w:p w14:paraId="2977481A">
      <w:pPr>
        <w:ind w:firstLine="632" w:firstLineChars="200"/>
        <w:rPr>
          <w:rFonts w:ascii="Times New Roman" w:hAnsi="Times New Roman" w:cs="仿宋_GB2312"/>
          <w:sz w:val="32"/>
          <w:szCs w:val="32"/>
        </w:rPr>
      </w:pPr>
      <w:bookmarkStart w:id="27" w:name="第二十二条"/>
      <w:bookmarkEnd w:id="27"/>
      <w:r>
        <w:rPr>
          <w:rFonts w:hint="eastAsia" w:ascii="Times New Roman" w:hAnsi="Times New Roman" w:eastAsia="黑体" w:cs="黑体"/>
          <w:sz w:val="32"/>
          <w:szCs w:val="32"/>
        </w:rPr>
        <w:t>第二十二条</w:t>
      </w:r>
      <w:r>
        <w:rPr>
          <w:rFonts w:hint="eastAsia" w:ascii="Times New Roman" w:hAnsi="Times New Roman" w:eastAsia="仿宋" w:cs="仿宋"/>
          <w:sz w:val="32"/>
          <w:szCs w:val="32"/>
        </w:rPr>
        <w:t>　基本医疗保险基金管理遵循以收定支、收支平衡的原则，确保基金稳定、可持续运行。</w:t>
      </w:r>
    </w:p>
    <w:p w14:paraId="0FBE11CF">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统筹地区人民政府建立基本医疗保险基金风险管控机制，加强基金精算分析，构建中长期收支平衡机制和应急处置机制，保障基本医疗保险基金按照规定支付。</w:t>
      </w:r>
    </w:p>
    <w:p w14:paraId="07235B62">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基本医疗保险基金预算应当按照收支平衡的原则编制。财政部门会同医疗保障行政部门加强基本医疗保险基金预算执行监督，强化预算绩效管理。</w:t>
      </w:r>
    </w:p>
    <w:p w14:paraId="7E84EF48">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国家推进基本医疗保险省级统筹。</w:t>
      </w:r>
    </w:p>
    <w:p w14:paraId="3C0172FF">
      <w:pPr>
        <w:ind w:firstLine="632" w:firstLineChars="200"/>
        <w:rPr>
          <w:rFonts w:ascii="Times New Roman" w:hAnsi="Times New Roman" w:cs="仿宋_GB2312"/>
          <w:sz w:val="32"/>
          <w:szCs w:val="32"/>
        </w:rPr>
      </w:pPr>
      <w:bookmarkStart w:id="28" w:name="第二十三条"/>
      <w:bookmarkEnd w:id="28"/>
      <w:r>
        <w:rPr>
          <w:rFonts w:hint="eastAsia" w:ascii="Times New Roman" w:hAnsi="Times New Roman" w:eastAsia="黑体" w:cs="黑体"/>
          <w:sz w:val="32"/>
          <w:szCs w:val="32"/>
        </w:rPr>
        <w:t>第二十三条</w:t>
      </w:r>
      <w:r>
        <w:rPr>
          <w:rFonts w:hint="eastAsia" w:ascii="Times New Roman" w:hAnsi="Times New Roman" w:eastAsia="仿宋" w:cs="仿宋"/>
          <w:sz w:val="32"/>
          <w:szCs w:val="32"/>
        </w:rPr>
        <w:t>　基本医疗保险基金支付范围由国务院医疗保障行政部门组织制定。</w:t>
      </w:r>
    </w:p>
    <w:p w14:paraId="04FF6F13">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基本医疗保险基金支付范围的确定，应当立足基本医疗保险基金承受能力，满足参保人员合理医疗需求，坚持中西医并重，促进药品、医疗器械合理使用和医药服务质量提升。</w:t>
      </w:r>
    </w:p>
    <w:p w14:paraId="4876D3A9">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省、自治区、直辖市人民政府可以按照国家有关规定，补充确定本行政区域基本医疗保险基金支付的具体项目和标准，并报国务院医疗保障行政部门备案。</w:t>
      </w:r>
    </w:p>
    <w:p w14:paraId="674CE530">
      <w:pPr>
        <w:ind w:firstLine="632" w:firstLineChars="200"/>
        <w:rPr>
          <w:rFonts w:ascii="Times New Roman" w:hAnsi="Times New Roman" w:cs="仿宋_GB2312"/>
          <w:sz w:val="32"/>
          <w:szCs w:val="32"/>
        </w:rPr>
      </w:pPr>
      <w:bookmarkStart w:id="29" w:name="第二十四条"/>
      <w:bookmarkEnd w:id="29"/>
      <w:r>
        <w:rPr>
          <w:rFonts w:hint="eastAsia" w:ascii="Times New Roman" w:hAnsi="Times New Roman" w:eastAsia="黑体" w:cs="黑体"/>
          <w:sz w:val="32"/>
          <w:szCs w:val="32"/>
        </w:rPr>
        <w:t>第二十四条</w:t>
      </w:r>
      <w:r>
        <w:rPr>
          <w:rFonts w:hint="eastAsia" w:ascii="Times New Roman" w:hAnsi="Times New Roman" w:eastAsia="仿宋" w:cs="仿宋"/>
          <w:sz w:val="32"/>
          <w:szCs w:val="32"/>
        </w:rPr>
        <w:t>　国务院医疗保障行政部门应当对纳入支付范围的基本医疗保险药品、医用耗材、医疗服务项目等目录组织开展循证医学和经济性评价。评价结果应当作为确定、调整基本医疗保险基金支付范围的依据。</w:t>
      </w:r>
    </w:p>
    <w:p w14:paraId="0FF6825A">
      <w:pPr>
        <w:ind w:firstLine="632" w:firstLineChars="200"/>
        <w:rPr>
          <w:rFonts w:ascii="Times New Roman" w:hAnsi="Times New Roman" w:cs="仿宋_GB2312"/>
          <w:sz w:val="32"/>
          <w:szCs w:val="32"/>
        </w:rPr>
      </w:pPr>
      <w:bookmarkStart w:id="30" w:name="第二十五条"/>
      <w:bookmarkEnd w:id="30"/>
      <w:r>
        <w:rPr>
          <w:rFonts w:hint="eastAsia" w:ascii="Times New Roman" w:hAnsi="Times New Roman" w:eastAsia="黑体" w:cs="黑体"/>
          <w:sz w:val="32"/>
          <w:szCs w:val="32"/>
        </w:rPr>
        <w:t>第二十五条</w:t>
      </w:r>
      <w:r>
        <w:rPr>
          <w:rFonts w:hint="eastAsia" w:ascii="Times New Roman" w:hAnsi="Times New Roman" w:eastAsia="仿宋" w:cs="仿宋"/>
          <w:sz w:val="32"/>
          <w:szCs w:val="32"/>
        </w:rPr>
        <w:t>　国务院医疗保障行政部门组织制定基本医疗保险基金支付范围、组织开展循证医学和经济性评价时，应当听取国务院卫生健康、中医药、疾病预防控制、药品监督管理、发展改革、民政、人力资源社会保障、工业和信息化、财政、市场监督管理等部门的意见，并采取适当方式听取医疗机构、药品经营单位、相关企业、专家和参保人员的意见。</w:t>
      </w:r>
    </w:p>
    <w:p w14:paraId="3031168E">
      <w:pPr>
        <w:ind w:firstLine="632" w:firstLineChars="200"/>
        <w:rPr>
          <w:rFonts w:ascii="Times New Roman" w:hAnsi="Times New Roman" w:cs="仿宋_GB2312"/>
          <w:sz w:val="32"/>
          <w:szCs w:val="32"/>
        </w:rPr>
      </w:pPr>
      <w:bookmarkStart w:id="31" w:name="第二十六条"/>
      <w:bookmarkEnd w:id="31"/>
      <w:r>
        <w:rPr>
          <w:rFonts w:hint="eastAsia" w:ascii="Times New Roman" w:hAnsi="Times New Roman" w:eastAsia="黑体" w:cs="黑体"/>
          <w:sz w:val="32"/>
          <w:szCs w:val="32"/>
        </w:rPr>
        <w:t>第二十六条</w:t>
      </w:r>
      <w:r>
        <w:rPr>
          <w:rFonts w:hint="eastAsia" w:ascii="Times New Roman" w:hAnsi="Times New Roman" w:eastAsia="仿宋" w:cs="仿宋"/>
          <w:sz w:val="32"/>
          <w:szCs w:val="32"/>
        </w:rPr>
        <w:t>　国家建立并完善药品、医用耗材集中采购制度。</w:t>
      </w:r>
    </w:p>
    <w:p w14:paraId="6E889C45">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国家健全基本医疗保险基金支付机制，针对不同医疗服务特点，实行多元复合式医疗保险支付方式，实施并完善符合中医药服务特点的支付方式。</w:t>
      </w:r>
    </w:p>
    <w:p w14:paraId="63AA44D2">
      <w:pPr>
        <w:ind w:firstLine="632" w:firstLineChars="200"/>
        <w:rPr>
          <w:rFonts w:ascii="Times New Roman" w:hAnsi="Times New Roman" w:cs="仿宋_GB2312"/>
          <w:sz w:val="32"/>
          <w:szCs w:val="32"/>
        </w:rPr>
      </w:pPr>
      <w:bookmarkStart w:id="32" w:name="第二十七条"/>
      <w:bookmarkEnd w:id="32"/>
      <w:r>
        <w:rPr>
          <w:rFonts w:hint="eastAsia" w:ascii="Times New Roman" w:hAnsi="Times New Roman" w:eastAsia="黑体" w:cs="黑体"/>
          <w:sz w:val="32"/>
          <w:szCs w:val="32"/>
        </w:rPr>
        <w:t>第二十七条</w:t>
      </w:r>
      <w:r>
        <w:rPr>
          <w:rFonts w:hint="eastAsia" w:ascii="Times New Roman" w:hAnsi="Times New Roman" w:eastAsia="仿宋" w:cs="仿宋"/>
          <w:sz w:val="32"/>
          <w:szCs w:val="32"/>
        </w:rPr>
        <w:t>　发生重大传染病疫情等紧急情况时，国务院医疗保障行政部门在听取国务院卫生健康、中医药、疾病预防控制、药品监督管理、工业和信息化等部门意见的基础上，可以会同国务院财政部门提出对基本医疗保险基金支付范围的临时调整方案，报国务院批准后实施。</w:t>
      </w:r>
    </w:p>
    <w:p w14:paraId="4B2BA5E1">
      <w:pPr>
        <w:ind w:firstLine="632" w:firstLineChars="200"/>
        <w:rPr>
          <w:rFonts w:ascii="Times New Roman" w:hAnsi="Times New Roman" w:cs="仿宋_GB2312"/>
          <w:sz w:val="32"/>
          <w:szCs w:val="32"/>
        </w:rPr>
      </w:pPr>
      <w:bookmarkStart w:id="33" w:name="第二十八条"/>
      <w:bookmarkEnd w:id="33"/>
      <w:r>
        <w:rPr>
          <w:rFonts w:hint="eastAsia" w:ascii="Times New Roman" w:hAnsi="Times New Roman" w:eastAsia="黑体" w:cs="黑体"/>
          <w:sz w:val="32"/>
          <w:szCs w:val="32"/>
        </w:rPr>
        <w:t>第二十八条</w:t>
      </w:r>
      <w:r>
        <w:rPr>
          <w:rFonts w:hint="eastAsia" w:ascii="Times New Roman" w:hAnsi="Times New Roman" w:eastAsia="仿宋" w:cs="仿宋"/>
          <w:sz w:val="32"/>
          <w:szCs w:val="32"/>
        </w:rPr>
        <w:t>　基本医疗保险实行医疗机构、药品经营单位定点管理。</w:t>
      </w:r>
    </w:p>
    <w:p w14:paraId="22443932">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实行定点管理的医疗机构、药品经营单位（以下统称定点医药机构）应当建立并执行医疗保障基金使用内部控制制度，由专门机构或者人员负责医疗保障基金使用管理工作，组织开展医疗保障基金使用相关制度、政策的培训，定期检查本单位医疗保障基金使用情况。</w:t>
      </w:r>
    </w:p>
    <w:p w14:paraId="72932E26">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定点医药机构应当妥善保管与医疗保障基金使用有关的资料，及时向医疗保障经办机构报送医疗保障基金使用相关数据，并向医疗保障行政部门报告医疗保障基金使用监督管理所需的必要信息。</w:t>
      </w:r>
    </w:p>
    <w:p w14:paraId="1CF5F7D2">
      <w:pPr>
        <w:rPr>
          <w:rFonts w:ascii="Times New Roman" w:hAnsi="Times New Roman" w:eastAsia="仿宋" w:cs="仿宋"/>
          <w:sz w:val="32"/>
          <w:szCs w:val="32"/>
        </w:rPr>
      </w:pPr>
    </w:p>
    <w:p w14:paraId="3C842137">
      <w:pPr>
        <w:jc w:val="center"/>
        <w:rPr>
          <w:rFonts w:ascii="Times New Roman" w:hAnsi="Times New Roman" w:eastAsia="黑体" w:cs="黑体"/>
          <w:szCs w:val="32"/>
        </w:rPr>
      </w:pPr>
      <w:bookmarkStart w:id="34" w:name="第四章　医疗保障服务"/>
      <w:bookmarkEnd w:id="34"/>
      <w:r>
        <w:rPr>
          <w:rFonts w:hint="eastAsia" w:ascii="Times New Roman" w:hAnsi="Times New Roman" w:eastAsia="黑体" w:cs="黑体"/>
          <w:sz w:val="32"/>
          <w:szCs w:val="32"/>
        </w:rPr>
        <w:t>第四章　医疗保障服务</w:t>
      </w:r>
    </w:p>
    <w:p w14:paraId="2A5D1183">
      <w:pPr>
        <w:rPr>
          <w:rFonts w:ascii="Times New Roman" w:hAnsi="Times New Roman" w:eastAsia="仿宋" w:cs="仿宋"/>
          <w:sz w:val="32"/>
          <w:szCs w:val="32"/>
        </w:rPr>
      </w:pPr>
    </w:p>
    <w:p w14:paraId="1DF55429">
      <w:pPr>
        <w:ind w:firstLine="632" w:firstLineChars="200"/>
        <w:rPr>
          <w:rFonts w:ascii="Times New Roman" w:hAnsi="Times New Roman" w:cs="仿宋_GB2312"/>
          <w:sz w:val="32"/>
          <w:szCs w:val="32"/>
        </w:rPr>
      </w:pPr>
      <w:bookmarkStart w:id="35" w:name="第二十九条"/>
      <w:bookmarkEnd w:id="35"/>
      <w:r>
        <w:rPr>
          <w:rFonts w:hint="eastAsia" w:ascii="Times New Roman" w:hAnsi="Times New Roman" w:eastAsia="黑体" w:cs="黑体"/>
          <w:sz w:val="32"/>
          <w:szCs w:val="32"/>
        </w:rPr>
        <w:t>第二十九条</w:t>
      </w:r>
      <w:r>
        <w:rPr>
          <w:rFonts w:hint="eastAsia" w:ascii="Times New Roman" w:hAnsi="Times New Roman" w:eastAsia="仿宋" w:cs="仿宋"/>
          <w:sz w:val="32"/>
          <w:szCs w:val="32"/>
        </w:rPr>
        <w:t>　国家建立健全医疗保障公共服务体系，规范统一医疗保障公共服务事项清单，提高服务标准化、规范化、便利化水平，实现医疗保障公共服务城乡全覆盖。</w:t>
      </w:r>
    </w:p>
    <w:p w14:paraId="1FACEFCF">
      <w:pPr>
        <w:ind w:firstLine="632" w:firstLineChars="200"/>
        <w:rPr>
          <w:rFonts w:ascii="Times New Roman" w:hAnsi="Times New Roman" w:cs="仿宋_GB2312"/>
          <w:sz w:val="32"/>
          <w:szCs w:val="32"/>
        </w:rPr>
      </w:pPr>
      <w:bookmarkStart w:id="36" w:name="第三十条"/>
      <w:bookmarkEnd w:id="36"/>
      <w:r>
        <w:rPr>
          <w:rFonts w:hint="eastAsia" w:ascii="Times New Roman" w:hAnsi="Times New Roman" w:eastAsia="黑体" w:cs="黑体"/>
          <w:sz w:val="32"/>
          <w:szCs w:val="32"/>
        </w:rPr>
        <w:t>第三十条</w:t>
      </w:r>
      <w:r>
        <w:rPr>
          <w:rFonts w:hint="eastAsia" w:ascii="Times New Roman" w:hAnsi="Times New Roman" w:eastAsia="仿宋" w:cs="仿宋"/>
          <w:sz w:val="32"/>
          <w:szCs w:val="32"/>
        </w:rPr>
        <w:t>　医疗保障经办机构开展参保登记、关系转移、个人权益记录、待遇核定和支付、查询和咨询服务、医疗保障服务协议管理、核定国家规定情形的应缴费额等工作。</w:t>
      </w:r>
    </w:p>
    <w:p w14:paraId="519C2662">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医疗保障经办机构应当建立并执行业务、财务、安全和风险管理等内部控制制度。</w:t>
      </w:r>
    </w:p>
    <w:p w14:paraId="7D2E1E20">
      <w:pPr>
        <w:ind w:firstLine="632" w:firstLineChars="200"/>
        <w:rPr>
          <w:rFonts w:ascii="Times New Roman" w:hAnsi="Times New Roman" w:cs="仿宋_GB2312"/>
          <w:sz w:val="32"/>
          <w:szCs w:val="32"/>
        </w:rPr>
      </w:pPr>
      <w:bookmarkStart w:id="37" w:name="第三十一条"/>
      <w:bookmarkEnd w:id="37"/>
      <w:r>
        <w:rPr>
          <w:rFonts w:hint="eastAsia" w:ascii="Times New Roman" w:hAnsi="Times New Roman" w:eastAsia="黑体" w:cs="黑体"/>
          <w:sz w:val="32"/>
          <w:szCs w:val="32"/>
        </w:rPr>
        <w:t>第三十一条</w:t>
      </w:r>
      <w:r>
        <w:rPr>
          <w:rFonts w:hint="eastAsia" w:ascii="Times New Roman" w:hAnsi="Times New Roman" w:eastAsia="仿宋" w:cs="仿宋"/>
          <w:sz w:val="32"/>
          <w:szCs w:val="32"/>
        </w:rPr>
        <w:t>　医疗保障经办机构应当建立健全集体协商谈判机制，与符合条件的医疗机构、药品经营单位签订医疗保障服务协议，规范医药服务行为，合理确定定点医药机构的医疗保障基金预算金额和拨付时限，明确双方违反服务协议的行为及其责任。医疗保障行政部门应当加强对服务协议订立、履行等情况的监督。</w:t>
      </w:r>
    </w:p>
    <w:p w14:paraId="02CE3041">
      <w:pPr>
        <w:ind w:firstLine="632" w:firstLineChars="200"/>
        <w:rPr>
          <w:rFonts w:ascii="Times New Roman" w:hAnsi="Times New Roman" w:cs="仿宋_GB2312"/>
          <w:sz w:val="32"/>
          <w:szCs w:val="32"/>
        </w:rPr>
      </w:pPr>
      <w:bookmarkStart w:id="38" w:name="第三十二条"/>
      <w:bookmarkEnd w:id="38"/>
      <w:r>
        <w:rPr>
          <w:rFonts w:hint="eastAsia" w:ascii="Times New Roman" w:hAnsi="Times New Roman" w:eastAsia="黑体" w:cs="黑体"/>
          <w:sz w:val="32"/>
          <w:szCs w:val="32"/>
        </w:rPr>
        <w:t>第三十二条</w:t>
      </w:r>
      <w:r>
        <w:rPr>
          <w:rFonts w:hint="eastAsia" w:ascii="Times New Roman" w:hAnsi="Times New Roman" w:eastAsia="仿宋" w:cs="仿宋"/>
          <w:sz w:val="32"/>
          <w:szCs w:val="32"/>
        </w:rPr>
        <w:t>　医疗保障行政部门、医疗保障经办机构建立健全基本医疗保险、职工大额医疗费用补助、居民大病保险、医疗救助等相衔接的医药费用直接结算机制，推行联网结算，提升结算效率。</w:t>
      </w:r>
    </w:p>
    <w:p w14:paraId="4045D5AA">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参保人员在定点医药机构发生的医药费用中应当由医疗保障基金支付的部分，医疗保障经办机构审核后应当按照协议约定及时足额直接结算并拨付；因特殊情况不能直接结算并拨付的，参保人员可以向医疗保障经办机构申请报销。</w:t>
      </w:r>
    </w:p>
    <w:p w14:paraId="3C2A74E1">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医疗保障行政部门、医疗保障经办机构应当完善异地就医医药费用直接结算制度，优化异地就医直接结算服务。异地就医的参保人员在定点医药机构发生的医药费用中应当由医疗保障基金支付的部分，医疗保障经办机构应当按照规定审核后及时足额直接结算并拨付。</w:t>
      </w:r>
    </w:p>
    <w:p w14:paraId="68FA55FD">
      <w:pPr>
        <w:ind w:firstLine="632" w:firstLineChars="200"/>
        <w:rPr>
          <w:rFonts w:ascii="Times New Roman" w:hAnsi="Times New Roman" w:cs="仿宋_GB2312"/>
          <w:sz w:val="32"/>
          <w:szCs w:val="32"/>
        </w:rPr>
      </w:pPr>
      <w:bookmarkStart w:id="39" w:name="第三十三条"/>
      <w:bookmarkEnd w:id="39"/>
      <w:r>
        <w:rPr>
          <w:rFonts w:hint="eastAsia" w:ascii="Times New Roman" w:hAnsi="Times New Roman" w:eastAsia="黑体" w:cs="黑体"/>
          <w:sz w:val="32"/>
          <w:szCs w:val="32"/>
        </w:rPr>
        <w:t>第三十三条</w:t>
      </w:r>
      <w:r>
        <w:rPr>
          <w:rFonts w:hint="eastAsia" w:ascii="Times New Roman" w:hAnsi="Times New Roman" w:eastAsia="仿宋" w:cs="仿宋"/>
          <w:sz w:val="32"/>
          <w:szCs w:val="32"/>
        </w:rPr>
        <w:t>　医疗保障经办机构应当加强对定点医药机构医疗保障基金使用相关制度、政策的培训和指导。</w:t>
      </w:r>
    </w:p>
    <w:p w14:paraId="67E3656A">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定点医药机构违反医疗保障服务协议的，医疗保障经办机构按照服务协议约定给予相应处理，定点医药机构及其相关责任人员有权进行陈述、申辩。</w:t>
      </w:r>
    </w:p>
    <w:p w14:paraId="0810B9CF">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医疗保障经办机构违反医疗保障服务协议的，定点医药机构有权要求其纠正或者提请医疗保障行政部门协调处理、督促整改。</w:t>
      </w:r>
    </w:p>
    <w:p w14:paraId="2D4F8E8D">
      <w:pPr>
        <w:ind w:firstLine="632" w:firstLineChars="200"/>
        <w:rPr>
          <w:rFonts w:ascii="Times New Roman" w:hAnsi="Times New Roman" w:cs="仿宋_GB2312"/>
          <w:sz w:val="32"/>
          <w:szCs w:val="32"/>
        </w:rPr>
      </w:pPr>
      <w:bookmarkStart w:id="40" w:name="第三十四条"/>
      <w:bookmarkEnd w:id="40"/>
      <w:r>
        <w:rPr>
          <w:rFonts w:hint="eastAsia" w:ascii="Times New Roman" w:hAnsi="Times New Roman" w:eastAsia="黑体" w:cs="黑体"/>
          <w:sz w:val="32"/>
          <w:szCs w:val="32"/>
        </w:rPr>
        <w:t>第三十四条</w:t>
      </w:r>
      <w:r>
        <w:rPr>
          <w:rFonts w:hint="eastAsia" w:ascii="Times New Roman" w:hAnsi="Times New Roman" w:eastAsia="仿宋" w:cs="仿宋"/>
          <w:sz w:val="32"/>
          <w:szCs w:val="32"/>
        </w:rPr>
        <w:t>　定点医药机构应当按照医疗保障基金使用管理等要求，严格执行实名就医、购药管理规定，按照诊疗规范提供合理、必要的医药服务，遵守药品、医疗器械信息化追溯制度。</w:t>
      </w:r>
    </w:p>
    <w:p w14:paraId="130B5015">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定点医药机构可以按照国家有关规定和医疗保障服务协议开展远程诊疗、在线复诊等互联网医疗服务。</w:t>
      </w:r>
    </w:p>
    <w:p w14:paraId="4ED98965">
      <w:pPr>
        <w:ind w:firstLine="632" w:firstLineChars="200"/>
        <w:rPr>
          <w:rFonts w:ascii="Times New Roman" w:hAnsi="Times New Roman" w:cs="仿宋_GB2312"/>
          <w:sz w:val="32"/>
          <w:szCs w:val="32"/>
        </w:rPr>
      </w:pPr>
      <w:bookmarkStart w:id="41" w:name="第三十五条"/>
      <w:bookmarkEnd w:id="41"/>
      <w:r>
        <w:rPr>
          <w:rFonts w:hint="eastAsia" w:ascii="Times New Roman" w:hAnsi="Times New Roman" w:eastAsia="黑体" w:cs="黑体"/>
          <w:sz w:val="32"/>
          <w:szCs w:val="32"/>
        </w:rPr>
        <w:t>第三十五条</w:t>
      </w:r>
      <w:r>
        <w:rPr>
          <w:rFonts w:hint="eastAsia" w:ascii="Times New Roman" w:hAnsi="Times New Roman" w:eastAsia="仿宋" w:cs="仿宋"/>
          <w:sz w:val="32"/>
          <w:szCs w:val="32"/>
        </w:rPr>
        <w:t>　参保人员应当持本人社会保障卡或者医保电子凭证就医、购药。参保人员有权要求定点医药机构依法如实出具费用单据和诊疗相关资料。</w:t>
      </w:r>
    </w:p>
    <w:p w14:paraId="1E270AA4">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参保人员应当妥善保管本人社会保障卡、医保电子凭证，防止他人冒名使用。因特殊原因需要委托他人代为购药的，应当提供委托人和受托人的身份证明。</w:t>
      </w:r>
    </w:p>
    <w:p w14:paraId="4AD07883">
      <w:pPr>
        <w:ind w:firstLine="632" w:firstLineChars="200"/>
        <w:rPr>
          <w:rFonts w:ascii="Times New Roman" w:hAnsi="Times New Roman" w:cs="仿宋_GB2312"/>
          <w:sz w:val="32"/>
          <w:szCs w:val="32"/>
        </w:rPr>
      </w:pPr>
      <w:bookmarkStart w:id="42" w:name="第三十六条"/>
      <w:bookmarkEnd w:id="42"/>
      <w:r>
        <w:rPr>
          <w:rFonts w:hint="eastAsia" w:ascii="Times New Roman" w:hAnsi="Times New Roman" w:eastAsia="黑体" w:cs="黑体"/>
          <w:sz w:val="32"/>
          <w:szCs w:val="32"/>
        </w:rPr>
        <w:t>第三十六条</w:t>
      </w:r>
      <w:r>
        <w:rPr>
          <w:rFonts w:hint="eastAsia" w:ascii="Times New Roman" w:hAnsi="Times New Roman" w:eastAsia="仿宋" w:cs="仿宋"/>
          <w:sz w:val="32"/>
          <w:szCs w:val="32"/>
        </w:rPr>
        <w:t>　医疗保障行政部门通过医疗保障信息平台实现数据有效有序共享、运用。</w:t>
      </w:r>
    </w:p>
    <w:p w14:paraId="125D6B76">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医疗保障行政部门应当加强医疗保障信息平台数据处理全过程管理，规范数据管理和应用权限，保障数据安全和网络安全。</w:t>
      </w:r>
    </w:p>
    <w:p w14:paraId="4FE3D324">
      <w:pPr>
        <w:rPr>
          <w:rFonts w:ascii="Times New Roman" w:hAnsi="Times New Roman" w:eastAsia="仿宋" w:cs="仿宋"/>
          <w:sz w:val="32"/>
          <w:szCs w:val="32"/>
        </w:rPr>
      </w:pPr>
    </w:p>
    <w:p w14:paraId="3C6B3E6E">
      <w:pPr>
        <w:jc w:val="center"/>
        <w:rPr>
          <w:rFonts w:ascii="Times New Roman" w:hAnsi="Times New Roman" w:eastAsia="黑体" w:cs="黑体"/>
          <w:szCs w:val="32"/>
        </w:rPr>
      </w:pPr>
      <w:bookmarkStart w:id="43" w:name="第五章　监督管理"/>
      <w:bookmarkEnd w:id="43"/>
      <w:r>
        <w:rPr>
          <w:rFonts w:hint="eastAsia" w:ascii="Times New Roman" w:hAnsi="Times New Roman" w:eastAsia="黑体" w:cs="黑体"/>
          <w:sz w:val="32"/>
          <w:szCs w:val="32"/>
        </w:rPr>
        <w:t>第五章　监督管理</w:t>
      </w:r>
    </w:p>
    <w:p w14:paraId="7251F0EC">
      <w:pPr>
        <w:rPr>
          <w:rFonts w:ascii="Times New Roman" w:hAnsi="Times New Roman" w:eastAsia="仿宋" w:cs="仿宋"/>
          <w:sz w:val="32"/>
          <w:szCs w:val="32"/>
        </w:rPr>
      </w:pPr>
    </w:p>
    <w:p w14:paraId="275C38E4">
      <w:pPr>
        <w:ind w:firstLine="632" w:firstLineChars="200"/>
        <w:rPr>
          <w:rFonts w:ascii="Times New Roman" w:hAnsi="Times New Roman" w:cs="仿宋_GB2312"/>
          <w:sz w:val="32"/>
          <w:szCs w:val="32"/>
        </w:rPr>
      </w:pPr>
      <w:bookmarkStart w:id="44" w:name="第三十七条"/>
      <w:bookmarkEnd w:id="44"/>
      <w:r>
        <w:rPr>
          <w:rFonts w:hint="eastAsia" w:ascii="Times New Roman" w:hAnsi="Times New Roman" w:eastAsia="黑体" w:cs="黑体"/>
          <w:sz w:val="32"/>
          <w:szCs w:val="32"/>
        </w:rPr>
        <w:t>第三十七条</w:t>
      </w:r>
      <w:r>
        <w:rPr>
          <w:rFonts w:hint="eastAsia" w:ascii="Times New Roman" w:hAnsi="Times New Roman" w:eastAsia="仿宋" w:cs="仿宋"/>
          <w:sz w:val="32"/>
          <w:szCs w:val="32"/>
        </w:rPr>
        <w:t>　县级以上人民政府应当向本级人民代表大会常务委员会报告医疗保障基金的收支、管理、监督检查等情况，依法接受监督。</w:t>
      </w:r>
    </w:p>
    <w:p w14:paraId="3B7FAC9E">
      <w:pPr>
        <w:ind w:firstLine="632" w:firstLineChars="200"/>
        <w:rPr>
          <w:rFonts w:ascii="Times New Roman" w:hAnsi="Times New Roman" w:cs="仿宋_GB2312"/>
          <w:sz w:val="32"/>
          <w:szCs w:val="32"/>
        </w:rPr>
      </w:pPr>
      <w:bookmarkStart w:id="45" w:name="第三十八条"/>
      <w:bookmarkEnd w:id="45"/>
      <w:r>
        <w:rPr>
          <w:rFonts w:hint="eastAsia" w:ascii="Times New Roman" w:hAnsi="Times New Roman" w:eastAsia="黑体" w:cs="黑体"/>
          <w:sz w:val="32"/>
          <w:szCs w:val="32"/>
        </w:rPr>
        <w:t>第三十八条</w:t>
      </w:r>
      <w:r>
        <w:rPr>
          <w:rFonts w:hint="eastAsia" w:ascii="Times New Roman" w:hAnsi="Times New Roman" w:eastAsia="仿宋" w:cs="仿宋"/>
          <w:sz w:val="32"/>
          <w:szCs w:val="32"/>
        </w:rPr>
        <w:t>　医疗保障行政部门应当加强对医疗保障经办机构、用人单位、定点医药机构等单位和参保人员等个人遵守医疗保障法律、法规情况的监督检查。</w:t>
      </w:r>
    </w:p>
    <w:p w14:paraId="5EB30291">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财政部门、审计机关按照各自职责对医疗保障基金的收支、管理情况实施监督。</w:t>
      </w:r>
    </w:p>
    <w:p w14:paraId="146AD7C0">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医疗保障经办机构应当定期向社会公布基本医疗保险参保情况以及医疗保障基金收入、支出、结余等情况，接受社会监督。</w:t>
      </w:r>
    </w:p>
    <w:p w14:paraId="4CC68290">
      <w:pPr>
        <w:ind w:firstLine="632" w:firstLineChars="200"/>
        <w:rPr>
          <w:rFonts w:ascii="Times New Roman" w:hAnsi="Times New Roman" w:cs="仿宋_GB2312"/>
          <w:sz w:val="32"/>
          <w:szCs w:val="32"/>
        </w:rPr>
      </w:pPr>
      <w:bookmarkStart w:id="46" w:name="第三十九条"/>
      <w:bookmarkEnd w:id="46"/>
      <w:r>
        <w:rPr>
          <w:rFonts w:hint="eastAsia" w:ascii="Times New Roman" w:hAnsi="Times New Roman" w:eastAsia="黑体" w:cs="黑体"/>
          <w:sz w:val="32"/>
          <w:szCs w:val="32"/>
        </w:rPr>
        <w:t>第三十九条</w:t>
      </w:r>
      <w:r>
        <w:rPr>
          <w:rFonts w:hint="eastAsia" w:ascii="Times New Roman" w:hAnsi="Times New Roman" w:eastAsia="仿宋" w:cs="仿宋"/>
          <w:sz w:val="32"/>
          <w:szCs w:val="32"/>
        </w:rPr>
        <w:t>　医疗保障行政部门应当加强与卫生健康、药品监督管理等有关部门的信息共享、分工协作，建立沟通协调、联合检查、联合通报、案件移送等机制。</w:t>
      </w:r>
    </w:p>
    <w:p w14:paraId="73E02B5C">
      <w:pPr>
        <w:ind w:firstLine="632" w:firstLineChars="200"/>
        <w:rPr>
          <w:rFonts w:ascii="Times New Roman" w:hAnsi="Times New Roman" w:cs="仿宋_GB2312"/>
          <w:sz w:val="32"/>
          <w:szCs w:val="32"/>
        </w:rPr>
      </w:pPr>
      <w:bookmarkStart w:id="47" w:name="第四十条"/>
      <w:bookmarkEnd w:id="47"/>
      <w:r>
        <w:rPr>
          <w:rFonts w:hint="eastAsia" w:ascii="Times New Roman" w:hAnsi="Times New Roman" w:eastAsia="黑体" w:cs="黑体"/>
          <w:sz w:val="32"/>
          <w:szCs w:val="32"/>
        </w:rPr>
        <w:t>第四十条</w:t>
      </w:r>
      <w:r>
        <w:rPr>
          <w:rFonts w:hint="eastAsia" w:ascii="Times New Roman" w:hAnsi="Times New Roman" w:eastAsia="仿宋" w:cs="仿宋"/>
          <w:sz w:val="32"/>
          <w:szCs w:val="32"/>
        </w:rPr>
        <w:t>　医疗保障行政部门依法履行职责，实施监督检查，有权采取下列措施：</w:t>
      </w:r>
    </w:p>
    <w:p w14:paraId="7257D74F">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（一）实施现场检查；</w:t>
      </w:r>
    </w:p>
    <w:p w14:paraId="375D7332">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（二）查阅、记录、复制与监督检查有关的资料，对可能被转移、隐匿、灭失的资料予以查封、扣押；</w:t>
      </w:r>
    </w:p>
    <w:p w14:paraId="2797134B">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（三）询问与检查事项有关的单位和个人，要求其对与检查事项有关的问题作出说明、提供证明材料；</w:t>
      </w:r>
    </w:p>
    <w:p w14:paraId="156D267B">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（四）对隐匿、转移、侵占、挪用医疗保障基金的行为予以制止并责令改正；</w:t>
      </w:r>
    </w:p>
    <w:p w14:paraId="42CCC3B8">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（五）法律、行政法规规定的其他措施。</w:t>
      </w:r>
    </w:p>
    <w:p w14:paraId="2201D236">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医疗保障行政部门实施监督检查时，被检查单位和个人应当配合，不得拒绝、阻碍检查或者谎报、瞒报。</w:t>
      </w:r>
    </w:p>
    <w:p w14:paraId="4613B22C">
      <w:pPr>
        <w:ind w:firstLine="632" w:firstLineChars="200"/>
        <w:rPr>
          <w:rFonts w:ascii="Times New Roman" w:hAnsi="Times New Roman" w:cs="仿宋_GB2312"/>
          <w:sz w:val="32"/>
          <w:szCs w:val="32"/>
        </w:rPr>
      </w:pPr>
      <w:bookmarkStart w:id="48" w:name="第四十一条"/>
      <w:bookmarkEnd w:id="48"/>
      <w:r>
        <w:rPr>
          <w:rFonts w:hint="eastAsia" w:ascii="Times New Roman" w:hAnsi="Times New Roman" w:eastAsia="黑体" w:cs="黑体"/>
          <w:sz w:val="32"/>
          <w:szCs w:val="32"/>
        </w:rPr>
        <w:t>第四十一条</w:t>
      </w:r>
      <w:r>
        <w:rPr>
          <w:rFonts w:hint="eastAsia" w:ascii="Times New Roman" w:hAnsi="Times New Roman" w:eastAsia="仿宋" w:cs="仿宋"/>
          <w:sz w:val="32"/>
          <w:szCs w:val="32"/>
        </w:rPr>
        <w:t>　医疗保障行政部门建立智能监督管理制度，对医疗保障基金使用情况实施动态智能监控。</w:t>
      </w:r>
    </w:p>
    <w:p w14:paraId="7099980C">
      <w:pPr>
        <w:ind w:firstLine="632" w:firstLineChars="200"/>
        <w:rPr>
          <w:rFonts w:ascii="Times New Roman" w:hAnsi="Times New Roman" w:cs="仿宋_GB2312"/>
          <w:sz w:val="32"/>
          <w:szCs w:val="32"/>
        </w:rPr>
      </w:pPr>
      <w:bookmarkStart w:id="49" w:name="第四十二条"/>
      <w:bookmarkEnd w:id="49"/>
      <w:r>
        <w:rPr>
          <w:rFonts w:hint="eastAsia" w:ascii="Times New Roman" w:hAnsi="Times New Roman" w:eastAsia="黑体" w:cs="黑体"/>
          <w:sz w:val="32"/>
          <w:szCs w:val="32"/>
        </w:rPr>
        <w:t>第四十二条</w:t>
      </w:r>
      <w:r>
        <w:rPr>
          <w:rFonts w:hint="eastAsia" w:ascii="Times New Roman" w:hAnsi="Times New Roman" w:eastAsia="仿宋" w:cs="仿宋"/>
          <w:sz w:val="32"/>
          <w:szCs w:val="32"/>
        </w:rPr>
        <w:t>　国家鼓励公民、法人和其他组织对医疗保障工作进行监督。</w:t>
      </w:r>
    </w:p>
    <w:p w14:paraId="7FA307A9">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任何单位和个人对违反医疗保障法律、法规的行为有权进行举报、投诉。医疗保障行政部门、税务机关、医疗保障经办机构等应当畅通举报、投诉渠道，对属于职责范围内的举报、投诉，应当依法处理；对不属于职责范围内的举报、投诉，应当书面通知举报人、投诉人并移交有权处理的部门、机构处理。有权处理的部门、机构应当及时处理，不得推诿。</w:t>
      </w:r>
    </w:p>
    <w:p w14:paraId="6065B308">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医疗保障行政部门、税务机关、医疗保障经办机构等应当对举报人的信息予以保密，对查证属实的举报，按照国家规定给予举报人奖励。举报奖励所需资金按照国家规定安排。</w:t>
      </w:r>
    </w:p>
    <w:p w14:paraId="473DBCF5">
      <w:pPr>
        <w:ind w:firstLine="632" w:firstLineChars="200"/>
        <w:rPr>
          <w:rFonts w:ascii="Times New Roman" w:hAnsi="Times New Roman" w:cs="仿宋_GB2312"/>
          <w:sz w:val="32"/>
          <w:szCs w:val="32"/>
        </w:rPr>
      </w:pPr>
      <w:bookmarkStart w:id="50" w:name="第四十三条"/>
      <w:bookmarkEnd w:id="50"/>
      <w:r>
        <w:rPr>
          <w:rFonts w:hint="eastAsia" w:ascii="Times New Roman" w:hAnsi="Times New Roman" w:eastAsia="黑体" w:cs="黑体"/>
          <w:sz w:val="32"/>
          <w:szCs w:val="32"/>
        </w:rPr>
        <w:t>第四十三条</w:t>
      </w:r>
      <w:r>
        <w:rPr>
          <w:rFonts w:hint="eastAsia" w:ascii="Times New Roman" w:hAnsi="Times New Roman" w:eastAsia="仿宋" w:cs="仿宋"/>
          <w:sz w:val="32"/>
          <w:szCs w:val="32"/>
        </w:rPr>
        <w:t>　医疗保障行政部门、税务机关、医疗保障经办机构、定点医药机构等单位及其工作人员对从事医疗保障相关工作中知悉的国家秘密、工作秘密、商业秘密、个人隐私和个人信息，依法负有保密义务。</w:t>
      </w:r>
    </w:p>
    <w:p w14:paraId="6FDA8603">
      <w:pPr>
        <w:ind w:firstLine="632" w:firstLineChars="200"/>
        <w:rPr>
          <w:rFonts w:ascii="Times New Roman" w:hAnsi="Times New Roman" w:cs="仿宋_GB2312"/>
          <w:sz w:val="32"/>
          <w:szCs w:val="32"/>
        </w:rPr>
      </w:pPr>
      <w:bookmarkStart w:id="51" w:name="第四十四条"/>
      <w:bookmarkEnd w:id="51"/>
      <w:r>
        <w:rPr>
          <w:rFonts w:hint="eastAsia" w:ascii="Times New Roman" w:hAnsi="Times New Roman" w:eastAsia="黑体" w:cs="黑体"/>
          <w:sz w:val="32"/>
          <w:szCs w:val="32"/>
        </w:rPr>
        <w:t>第四十四条</w:t>
      </w:r>
      <w:r>
        <w:rPr>
          <w:rFonts w:hint="eastAsia" w:ascii="Times New Roman" w:hAnsi="Times New Roman" w:eastAsia="仿宋" w:cs="仿宋"/>
          <w:sz w:val="32"/>
          <w:szCs w:val="32"/>
        </w:rPr>
        <w:t>　医疗保障行政部门应当建立定点医药机构及其工作人员、用人单位、参保人员等的信用管理制度。</w:t>
      </w:r>
    </w:p>
    <w:p w14:paraId="0C1D8F6C">
      <w:pPr>
        <w:rPr>
          <w:rFonts w:ascii="Times New Roman" w:hAnsi="Times New Roman" w:eastAsia="仿宋" w:cs="仿宋"/>
          <w:sz w:val="32"/>
          <w:szCs w:val="32"/>
        </w:rPr>
      </w:pPr>
    </w:p>
    <w:p w14:paraId="5507808A">
      <w:pPr>
        <w:jc w:val="center"/>
        <w:rPr>
          <w:rFonts w:ascii="Times New Roman" w:hAnsi="Times New Roman" w:eastAsia="黑体" w:cs="黑体"/>
          <w:szCs w:val="32"/>
        </w:rPr>
      </w:pPr>
      <w:bookmarkStart w:id="52" w:name="第六章　法律责任"/>
      <w:bookmarkEnd w:id="52"/>
      <w:r>
        <w:rPr>
          <w:rFonts w:hint="eastAsia" w:ascii="Times New Roman" w:hAnsi="Times New Roman" w:eastAsia="黑体" w:cs="黑体"/>
          <w:sz w:val="32"/>
          <w:szCs w:val="32"/>
        </w:rPr>
        <w:t>第六章　法律责任</w:t>
      </w:r>
    </w:p>
    <w:p w14:paraId="3A3BCAD0">
      <w:pPr>
        <w:rPr>
          <w:rFonts w:ascii="Times New Roman" w:hAnsi="Times New Roman" w:eastAsia="仿宋" w:cs="仿宋"/>
          <w:sz w:val="32"/>
          <w:szCs w:val="32"/>
        </w:rPr>
      </w:pPr>
    </w:p>
    <w:p w14:paraId="522F0D68">
      <w:pPr>
        <w:ind w:firstLine="632" w:firstLineChars="200"/>
        <w:rPr>
          <w:rFonts w:ascii="Times New Roman" w:hAnsi="Times New Roman" w:cs="仿宋_GB2312"/>
          <w:sz w:val="32"/>
          <w:szCs w:val="32"/>
        </w:rPr>
      </w:pPr>
      <w:bookmarkStart w:id="53" w:name="第四十五条"/>
      <w:bookmarkEnd w:id="53"/>
      <w:r>
        <w:rPr>
          <w:rFonts w:hint="eastAsia" w:ascii="Times New Roman" w:hAnsi="Times New Roman" w:eastAsia="黑体" w:cs="黑体"/>
          <w:sz w:val="32"/>
          <w:szCs w:val="32"/>
        </w:rPr>
        <w:t>第四十五条</w:t>
      </w:r>
      <w:r>
        <w:rPr>
          <w:rFonts w:hint="eastAsia" w:ascii="Times New Roman" w:hAnsi="Times New Roman" w:eastAsia="仿宋" w:cs="仿宋"/>
          <w:sz w:val="32"/>
          <w:szCs w:val="32"/>
        </w:rPr>
        <w:t>　国家工作人员在医疗保障工作中滥用职权、玩忽职守、徇私舞弊的，依法给予处分。</w:t>
      </w:r>
    </w:p>
    <w:p w14:paraId="07B662FC">
      <w:pPr>
        <w:ind w:firstLine="632" w:firstLineChars="200"/>
        <w:rPr>
          <w:rFonts w:ascii="Times New Roman" w:hAnsi="Times New Roman" w:cs="仿宋_GB2312"/>
          <w:sz w:val="32"/>
          <w:szCs w:val="32"/>
        </w:rPr>
      </w:pPr>
      <w:bookmarkStart w:id="54" w:name="第四十六条"/>
      <w:bookmarkEnd w:id="54"/>
      <w:r>
        <w:rPr>
          <w:rFonts w:hint="eastAsia" w:ascii="Times New Roman" w:hAnsi="Times New Roman" w:eastAsia="黑体" w:cs="黑体"/>
          <w:sz w:val="32"/>
          <w:szCs w:val="32"/>
        </w:rPr>
        <w:t>第四十六条</w:t>
      </w:r>
      <w:r>
        <w:rPr>
          <w:rFonts w:hint="eastAsia" w:ascii="Times New Roman" w:hAnsi="Times New Roman" w:eastAsia="仿宋" w:cs="仿宋"/>
          <w:sz w:val="32"/>
          <w:szCs w:val="32"/>
        </w:rPr>
        <w:t>　医疗保障经办机构及其工作人员有下列情形之一的，由医疗保障行政部门责令改正；给医疗保障基金造成损失的，依法承担赔偿责任；对负有责任的领导人员和直接责任人员依法给予处分：</w:t>
      </w:r>
    </w:p>
    <w:p w14:paraId="5D9474B6">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（一）未按照规定和医疗保障服务协议约定结算并拨付应当由医疗保障基金支付的费用；</w:t>
      </w:r>
    </w:p>
    <w:p w14:paraId="635C03AC">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（二）克扣或者拒不按时支付医疗保障待遇；</w:t>
      </w:r>
    </w:p>
    <w:p w14:paraId="0FAB85D4">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（三）丢失或者篡改缴费记录、享受医疗保障待遇记录等医疗保障数据、个人权益记录；</w:t>
      </w:r>
    </w:p>
    <w:p w14:paraId="5C912491">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（四）未建立并执行医疗保障经办内部控制制度；</w:t>
      </w:r>
    </w:p>
    <w:p w14:paraId="08D3490D">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（五）未定期向社会公布基本医疗保险参保情况或者医疗保障基金收入、支出、结余等情况；</w:t>
      </w:r>
    </w:p>
    <w:p w14:paraId="1DD8409A">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（六）其他违反医疗保障法律、法规的情形。</w:t>
      </w:r>
    </w:p>
    <w:p w14:paraId="38A21377">
      <w:pPr>
        <w:ind w:firstLine="632" w:firstLineChars="200"/>
        <w:rPr>
          <w:rFonts w:ascii="Times New Roman" w:hAnsi="Times New Roman" w:cs="仿宋_GB2312"/>
          <w:sz w:val="32"/>
          <w:szCs w:val="32"/>
        </w:rPr>
      </w:pPr>
      <w:bookmarkStart w:id="55" w:name="第四十七条"/>
      <w:bookmarkEnd w:id="55"/>
      <w:r>
        <w:rPr>
          <w:rFonts w:hint="eastAsia" w:ascii="Times New Roman" w:hAnsi="Times New Roman" w:eastAsia="黑体" w:cs="黑体"/>
          <w:sz w:val="32"/>
          <w:szCs w:val="32"/>
        </w:rPr>
        <w:t>第四十七条</w:t>
      </w:r>
      <w:r>
        <w:rPr>
          <w:rFonts w:hint="eastAsia" w:ascii="Times New Roman" w:hAnsi="Times New Roman" w:eastAsia="仿宋" w:cs="仿宋"/>
          <w:sz w:val="32"/>
          <w:szCs w:val="32"/>
        </w:rPr>
        <w:t>　定点医药机构未建立并执行医疗保障基金使用内部控制制度的，被检查单位和个人拒绝、阻碍检查或者谎报、瞒报的，由医疗保障行政部门责令改正，并可以约谈有关负责人；拒不改正的，处一万元以上五万元以下的罚款。</w:t>
      </w:r>
    </w:p>
    <w:p w14:paraId="64CE20E5">
      <w:pPr>
        <w:ind w:firstLine="632" w:firstLineChars="200"/>
        <w:rPr>
          <w:rFonts w:ascii="Times New Roman" w:hAnsi="Times New Roman" w:cs="仿宋_GB2312"/>
          <w:sz w:val="32"/>
          <w:szCs w:val="32"/>
        </w:rPr>
      </w:pPr>
      <w:bookmarkStart w:id="56" w:name="第四十八条"/>
      <w:bookmarkEnd w:id="56"/>
      <w:r>
        <w:rPr>
          <w:rFonts w:hint="eastAsia" w:ascii="Times New Roman" w:hAnsi="Times New Roman" w:eastAsia="黑体" w:cs="黑体"/>
          <w:sz w:val="32"/>
          <w:szCs w:val="32"/>
        </w:rPr>
        <w:t>第四十八条</w:t>
      </w:r>
      <w:r>
        <w:rPr>
          <w:rFonts w:hint="eastAsia" w:ascii="Times New Roman" w:hAnsi="Times New Roman" w:eastAsia="仿宋" w:cs="仿宋"/>
          <w:sz w:val="32"/>
          <w:szCs w:val="32"/>
        </w:rPr>
        <w:t>　定点医药机构违法使用医疗保障基金的，由医疗保障行政部门责令改正，并可以约谈有关负责人；造成医疗保障基金损失的，责令退回，处造成损失金额一倍以上二倍以下的罚款；拒不改正或者造成严重后果的，责令其暂停相关责任部门或者人员六个月以上一年以下涉及医疗保障基金使用的医药服务。</w:t>
      </w:r>
    </w:p>
    <w:p w14:paraId="3264F590">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个人违法使用医疗保障基金的，由医疗保障行政部门责令改正；造成医疗保障基金损失的，责令退回；属于参保人员的，还应当采取暂停其医药费用联网结算三个月至十二个月的管理约束措施。</w:t>
      </w:r>
    </w:p>
    <w:p w14:paraId="256E50C6">
      <w:pPr>
        <w:ind w:firstLine="632" w:firstLineChars="200"/>
        <w:rPr>
          <w:rFonts w:ascii="Times New Roman" w:hAnsi="Times New Roman" w:cs="仿宋_GB2312"/>
          <w:sz w:val="32"/>
          <w:szCs w:val="32"/>
        </w:rPr>
      </w:pPr>
      <w:bookmarkStart w:id="57" w:name="第四十九条"/>
      <w:bookmarkEnd w:id="57"/>
      <w:r>
        <w:rPr>
          <w:rFonts w:hint="eastAsia" w:ascii="Times New Roman" w:hAnsi="Times New Roman" w:eastAsia="黑体" w:cs="黑体"/>
          <w:sz w:val="32"/>
          <w:szCs w:val="32"/>
        </w:rPr>
        <w:t>第四十九条</w:t>
      </w:r>
      <w:r>
        <w:rPr>
          <w:rFonts w:hint="eastAsia" w:ascii="Times New Roman" w:hAnsi="Times New Roman" w:eastAsia="仿宋" w:cs="仿宋"/>
          <w:sz w:val="32"/>
          <w:szCs w:val="32"/>
        </w:rPr>
        <w:t>　以欺诈、伪造证明材料或者其他手段骗取医疗保障基金支出的，由医疗保障行政部门责令退回，处骗取金额二倍以上五倍以下的罚款；属于医疗保障经办机构的，还应当对其负有责任的领导人员和直接责任人员依法给予处分；属于定点医药机构的，还应当责令其暂停相关责任部门或者人员六个月以上一年以下涉及医疗保障基金使用的医药服务，直至由医疗保障经办机构解除医疗保障服务协议；属于参保人员的，还应当采取暂停其医药费用联网结算三个月至十二个月、限制其接受服务的定点医药机构范围等管理约束措施。</w:t>
      </w:r>
    </w:p>
    <w:p w14:paraId="268D233B">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实施前款规定的违法行为，负有责任的人员为医师的，还应当依照《中华人民共和国医师法》的规定予以处罚。</w:t>
      </w:r>
    </w:p>
    <w:p w14:paraId="01885F21">
      <w:pPr>
        <w:ind w:firstLine="632" w:firstLineChars="200"/>
        <w:rPr>
          <w:rFonts w:ascii="Times New Roman" w:hAnsi="Times New Roman" w:cs="仿宋_GB2312"/>
          <w:sz w:val="32"/>
          <w:szCs w:val="32"/>
        </w:rPr>
      </w:pPr>
      <w:bookmarkStart w:id="58" w:name="第五十条"/>
      <w:bookmarkEnd w:id="58"/>
      <w:r>
        <w:rPr>
          <w:rFonts w:hint="eastAsia" w:ascii="Times New Roman" w:hAnsi="Times New Roman" w:eastAsia="黑体" w:cs="黑体"/>
          <w:sz w:val="32"/>
          <w:szCs w:val="32"/>
        </w:rPr>
        <w:t>第五十条</w:t>
      </w:r>
      <w:r>
        <w:rPr>
          <w:rFonts w:hint="eastAsia" w:ascii="Times New Roman" w:hAnsi="Times New Roman" w:eastAsia="仿宋" w:cs="仿宋"/>
          <w:sz w:val="32"/>
          <w:szCs w:val="32"/>
        </w:rPr>
        <w:t>　定点医药机构违反本法规定，造成医疗保障基金重大损失或者严重不良社会影响的，对其法定代表人或者主要负责人依法给予处分，五年内禁止其从事定点医药机构管理活动。</w:t>
      </w:r>
    </w:p>
    <w:p w14:paraId="59585BDE">
      <w:pPr>
        <w:ind w:firstLine="632" w:firstLineChars="200"/>
        <w:rPr>
          <w:rFonts w:ascii="Times New Roman" w:hAnsi="Times New Roman" w:cs="仿宋_GB2312"/>
          <w:sz w:val="32"/>
          <w:szCs w:val="32"/>
        </w:rPr>
      </w:pPr>
      <w:bookmarkStart w:id="59" w:name="第五十一条"/>
      <w:bookmarkEnd w:id="59"/>
      <w:r>
        <w:rPr>
          <w:rFonts w:hint="eastAsia" w:ascii="Times New Roman" w:hAnsi="Times New Roman" w:eastAsia="黑体" w:cs="黑体"/>
          <w:sz w:val="32"/>
          <w:szCs w:val="32"/>
        </w:rPr>
        <w:t>第五十一条</w:t>
      </w:r>
      <w:r>
        <w:rPr>
          <w:rFonts w:hint="eastAsia" w:ascii="Times New Roman" w:hAnsi="Times New Roman" w:eastAsia="仿宋" w:cs="仿宋"/>
          <w:sz w:val="32"/>
          <w:szCs w:val="32"/>
        </w:rPr>
        <w:t>　隐匿、转移、侵占、挪用医疗保障基金的，由医疗保障行政部门、财政部门、审计机关按照各自职责责令追回；有违法所得的，没收违法所得；对负有责任的领导人员和直接责任人员依法给予处分。</w:t>
      </w:r>
    </w:p>
    <w:p w14:paraId="07EC7C05">
      <w:pPr>
        <w:ind w:firstLine="632" w:firstLineChars="200"/>
        <w:rPr>
          <w:rFonts w:ascii="Times New Roman" w:hAnsi="Times New Roman" w:cs="仿宋_GB2312"/>
          <w:sz w:val="32"/>
          <w:szCs w:val="32"/>
        </w:rPr>
      </w:pPr>
      <w:bookmarkStart w:id="60" w:name="第五十二条"/>
      <w:bookmarkEnd w:id="60"/>
      <w:r>
        <w:rPr>
          <w:rFonts w:hint="eastAsia" w:ascii="Times New Roman" w:hAnsi="Times New Roman" w:eastAsia="黑体" w:cs="黑体"/>
          <w:sz w:val="32"/>
          <w:szCs w:val="32"/>
        </w:rPr>
        <w:t>第五十二条</w:t>
      </w:r>
      <w:r>
        <w:rPr>
          <w:rFonts w:hint="eastAsia" w:ascii="Times New Roman" w:hAnsi="Times New Roman" w:eastAsia="仿宋" w:cs="仿宋"/>
          <w:sz w:val="32"/>
          <w:szCs w:val="32"/>
        </w:rPr>
        <w:t>　医疗保障行政部门、税务机关、医疗保障经办机构、定点医药机构等单位及其工作人员违反本法规定的保密义务，对负有责任的领导人员和直接责任人员依法给予处分。</w:t>
      </w:r>
    </w:p>
    <w:p w14:paraId="33582851">
      <w:pPr>
        <w:ind w:firstLine="632" w:firstLineChars="200"/>
        <w:rPr>
          <w:rFonts w:ascii="Times New Roman" w:hAnsi="Times New Roman" w:cs="仿宋_GB2312"/>
          <w:sz w:val="32"/>
          <w:szCs w:val="32"/>
        </w:rPr>
      </w:pPr>
      <w:bookmarkStart w:id="61" w:name="第五十三条"/>
      <w:bookmarkEnd w:id="61"/>
      <w:r>
        <w:rPr>
          <w:rFonts w:hint="eastAsia" w:ascii="Times New Roman" w:hAnsi="Times New Roman" w:eastAsia="黑体" w:cs="黑体"/>
          <w:sz w:val="32"/>
          <w:szCs w:val="32"/>
        </w:rPr>
        <w:t>第五十三条</w:t>
      </w:r>
      <w:r>
        <w:rPr>
          <w:rFonts w:hint="eastAsia" w:ascii="Times New Roman" w:hAnsi="Times New Roman" w:eastAsia="仿宋" w:cs="仿宋"/>
          <w:sz w:val="32"/>
          <w:szCs w:val="32"/>
        </w:rPr>
        <w:t>　违反本法规定，给有关单位或者个人造成损害的，依法承担民事责任。</w:t>
      </w:r>
    </w:p>
    <w:p w14:paraId="5E1CE7C0">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违反本法规定，构成违反治安管理行为的，依法给予治安管理处罚；构成犯罪的，依法追究刑事责任。</w:t>
      </w:r>
    </w:p>
    <w:p w14:paraId="459E0CBB">
      <w:pPr>
        <w:rPr>
          <w:rFonts w:ascii="Times New Roman" w:hAnsi="Times New Roman" w:eastAsia="仿宋" w:cs="仿宋"/>
          <w:sz w:val="32"/>
          <w:szCs w:val="32"/>
        </w:rPr>
      </w:pPr>
    </w:p>
    <w:p w14:paraId="6BF02304">
      <w:pPr>
        <w:jc w:val="center"/>
        <w:rPr>
          <w:rFonts w:ascii="Times New Roman" w:hAnsi="Times New Roman" w:eastAsia="黑体" w:cs="黑体"/>
          <w:szCs w:val="32"/>
        </w:rPr>
      </w:pPr>
      <w:bookmarkStart w:id="62" w:name="第七章　附则"/>
      <w:bookmarkEnd w:id="62"/>
      <w:r>
        <w:rPr>
          <w:rFonts w:hint="eastAsia" w:ascii="Times New Roman" w:hAnsi="Times New Roman" w:eastAsia="黑体" w:cs="黑体"/>
          <w:sz w:val="32"/>
          <w:szCs w:val="32"/>
        </w:rPr>
        <w:t>第七章　附　　则</w:t>
      </w:r>
    </w:p>
    <w:p w14:paraId="78F82834">
      <w:pPr>
        <w:rPr>
          <w:rFonts w:ascii="Times New Roman" w:hAnsi="Times New Roman" w:eastAsia="仿宋" w:cs="仿宋"/>
          <w:sz w:val="32"/>
          <w:szCs w:val="32"/>
        </w:rPr>
      </w:pPr>
    </w:p>
    <w:p w14:paraId="76531168">
      <w:pPr>
        <w:ind w:firstLine="632" w:firstLineChars="200"/>
        <w:rPr>
          <w:rFonts w:ascii="Times New Roman" w:hAnsi="Times New Roman" w:cs="仿宋_GB2312"/>
          <w:sz w:val="32"/>
          <w:szCs w:val="32"/>
        </w:rPr>
      </w:pPr>
      <w:bookmarkStart w:id="63" w:name="第五十四条"/>
      <w:bookmarkEnd w:id="63"/>
      <w:r>
        <w:rPr>
          <w:rFonts w:hint="eastAsia" w:ascii="Times New Roman" w:hAnsi="Times New Roman" w:eastAsia="黑体" w:cs="黑体"/>
          <w:sz w:val="32"/>
          <w:szCs w:val="32"/>
        </w:rPr>
        <w:t>第五十四条</w:t>
      </w:r>
      <w:r>
        <w:rPr>
          <w:rFonts w:hint="eastAsia" w:ascii="Times New Roman" w:hAnsi="Times New Roman" w:eastAsia="仿宋" w:cs="仿宋"/>
          <w:sz w:val="32"/>
          <w:szCs w:val="32"/>
        </w:rPr>
        <w:t>　商业健康保险、与医疗保障有关的慈善捐赠、医疗互助等依照有关法律、法规规定执行。</w:t>
      </w:r>
    </w:p>
    <w:p w14:paraId="0546C69E">
      <w:pPr>
        <w:ind w:firstLine="632" w:firstLineChars="200"/>
        <w:rPr>
          <w:rFonts w:ascii="Times New Roman" w:hAnsi="Times New Roman" w:cs="仿宋_GB2312"/>
          <w:sz w:val="32"/>
          <w:szCs w:val="32"/>
        </w:rPr>
      </w:pPr>
      <w:bookmarkStart w:id="64" w:name="第五十五条"/>
      <w:bookmarkEnd w:id="64"/>
      <w:r>
        <w:rPr>
          <w:rFonts w:hint="eastAsia" w:ascii="Times New Roman" w:hAnsi="Times New Roman" w:eastAsia="黑体" w:cs="黑体"/>
          <w:sz w:val="32"/>
          <w:szCs w:val="32"/>
        </w:rPr>
        <w:t>第五十五条</w:t>
      </w:r>
      <w:r>
        <w:rPr>
          <w:rFonts w:hint="eastAsia" w:ascii="Times New Roman" w:hAnsi="Times New Roman" w:eastAsia="仿宋" w:cs="仿宋"/>
          <w:sz w:val="32"/>
          <w:szCs w:val="32"/>
        </w:rPr>
        <w:t>　国家建立健全长期护理保险制度。长期护理保险的筹资运行、待遇保障、基金使用、监督管理等的具体办法，由国务院医疗保障行政部门会同国务院有关部门参照本法有关基本医疗保险的规定制定。</w:t>
      </w:r>
    </w:p>
    <w:p w14:paraId="627B887D">
      <w:pPr>
        <w:ind w:firstLine="632" w:firstLineChars="200"/>
        <w:rPr>
          <w:rFonts w:ascii="Times New Roman" w:hAnsi="Times New Roman" w:cs="仿宋_GB2312"/>
          <w:sz w:val="32"/>
          <w:szCs w:val="32"/>
        </w:rPr>
      </w:pPr>
      <w:bookmarkStart w:id="65" w:name="第五十六条"/>
      <w:bookmarkEnd w:id="65"/>
      <w:r>
        <w:rPr>
          <w:rFonts w:hint="eastAsia" w:ascii="Times New Roman" w:hAnsi="Times New Roman" w:eastAsia="黑体" w:cs="黑体"/>
          <w:sz w:val="32"/>
          <w:szCs w:val="32"/>
        </w:rPr>
        <w:t>第五十六条</w:t>
      </w:r>
      <w:r>
        <w:rPr>
          <w:rFonts w:hint="eastAsia" w:ascii="Times New Roman" w:hAnsi="Times New Roman" w:eastAsia="仿宋" w:cs="仿宋"/>
          <w:sz w:val="32"/>
          <w:szCs w:val="32"/>
        </w:rPr>
        <w:t>　本法自2027年1月1日起施行。</w:t>
      </w:r>
    </w:p>
    <w:sectPr>
      <w:footerReference r:id="rId3" w:type="default"/>
      <w:footerReference r:id="rId4" w:type="even"/>
      <w:pgSz w:w="11906" w:h="16838"/>
      <w:pgMar w:top="2098" w:right="1474" w:bottom="1984" w:left="1588" w:header="851" w:footer="1474" w:gutter="0"/>
      <w:lnNumType w:countBy="0" w:restart="continuous"/>
      <w:cols w:space="0" w:num="1"/>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Cambria">
    <w:panose1 w:val="02040503050406030204"/>
    <w:charset w:val="00"/>
    <w:family w:val="auto"/>
    <w:pitch w:val="default"/>
    <w:sig w:usb0="E00002FF" w:usb1="400004FF" w:usb2="00000000" w:usb3="00000000" w:csb0="2000019F" w:csb1="00000000"/>
  </w:font>
  <w:font w:name="方正黑体_GBK">
    <w:panose1 w:val="02000000000000000000"/>
    <w:charset w:val="86"/>
    <w:family w:val="script"/>
    <w:pitch w:val="default"/>
    <w:sig w:usb0="A00002BF" w:usb1="38CF7CFA" w:usb2="00082016" w:usb3="00000000" w:csb0="00040001" w:csb1="00000000"/>
  </w:font>
  <w:font w:name="ˎ̥">
    <w:altName w:val="hakuyoxingshu7000"/>
    <w:panose1 w:val="00000000000000000000"/>
    <w:charset w:val="00"/>
    <w:family w:val="roman"/>
    <w:pitch w:val="default"/>
    <w:sig w:usb0="00000000"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08FD9E">
    <w:pPr>
      <w:pStyle w:val="4"/>
      <w:wordWrap w:val="0"/>
      <w:jc w:val="right"/>
      <w:rPr>
        <w:rFonts w:eastAsia="宋体"/>
      </w:rPr>
    </w:pPr>
    <w:r>
      <w:rPr>
        <w:rFonts w:hint="eastAsia" w:ascii="宋体" w:hAnsi="宋体" w:eastAsia="宋体"/>
        <w:sz w:val="28"/>
        <w:szCs w:val="28"/>
      </w:rPr>
      <w:t>－</w:t>
    </w: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1</w:t>
    </w:r>
    <w:r>
      <w:rPr>
        <w:rFonts w:ascii="宋体" w:hAnsi="宋体" w:eastAsia="宋体"/>
        <w:sz w:val="28"/>
        <w:szCs w:val="28"/>
      </w:rPr>
      <w:fldChar w:fldCharType="end"/>
    </w:r>
    <w:r>
      <w:rPr>
        <w:rFonts w:hint="eastAsia" w:ascii="宋体" w:hAnsi="宋体" w:eastAsia="宋体"/>
        <w:sz w:val="28"/>
        <w:szCs w:val="28"/>
      </w:rPr>
      <w:t>－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C37B30">
    <w:pPr>
      <w:pStyle w:val="4"/>
      <w:rPr>
        <w:rFonts w:ascii="宋体" w:hAnsi="宋体" w:eastAsia="宋体"/>
        <w:sz w:val="28"/>
        <w:szCs w:val="28"/>
      </w:rPr>
    </w:pPr>
    <w:r>
      <w:rPr>
        <w:rFonts w:hint="eastAsia" w:ascii="宋体" w:hAnsi="宋体" w:eastAsia="宋体"/>
        <w:sz w:val="28"/>
        <w:szCs w:val="28"/>
      </w:rPr>
      <w:t>　－</w:t>
    </w: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6</w:t>
    </w:r>
    <w:r>
      <w:rPr>
        <w:rFonts w:ascii="宋体" w:hAnsi="宋体" w:eastAsia="宋体"/>
        <w:sz w:val="28"/>
        <w:szCs w:val="28"/>
      </w:rPr>
      <w:fldChar w:fldCharType="end"/>
    </w:r>
    <w:r>
      <w:rPr>
        <w:rFonts w:hint="eastAsia" w:ascii="宋体" w:hAnsi="宋体" w:eastAsia="宋体"/>
        <w:sz w:val="28"/>
        <w:szCs w:val="28"/>
      </w:rPr>
      <w:t>－</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mirrorMargins w:val="1"/>
  <w:bordersDoNotSurroundHeader w:val="1"/>
  <w:bordersDoNotSurroundFooter w:val="1"/>
  <w:documentProtection w:enforcement="0"/>
  <w:defaultTabStop w:val="420"/>
  <w:evenAndOddHeaders w:val="1"/>
  <w:drawingGridHorizontalSpacing w:val="158"/>
  <w:drawingGridVerticalSpacing w:val="579"/>
  <w:displayHorizontalDrawingGridEvery w:val="0"/>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g2OWQ1NmU4NmVlMDEyOWJlNDZmYWZmNzYxYTM0MDMifQ=="/>
  </w:docVars>
  <w:rsids>
    <w:rsidRoot w:val="000E703F"/>
    <w:rsid w:val="00005CBA"/>
    <w:rsid w:val="00067A46"/>
    <w:rsid w:val="000B3473"/>
    <w:rsid w:val="000D062B"/>
    <w:rsid w:val="000E703F"/>
    <w:rsid w:val="000F0A3D"/>
    <w:rsid w:val="000F7DA8"/>
    <w:rsid w:val="00131BA9"/>
    <w:rsid w:val="0013352A"/>
    <w:rsid w:val="0016100C"/>
    <w:rsid w:val="00166DBD"/>
    <w:rsid w:val="00194C5F"/>
    <w:rsid w:val="001D56C5"/>
    <w:rsid w:val="001E2980"/>
    <w:rsid w:val="00226845"/>
    <w:rsid w:val="002434D9"/>
    <w:rsid w:val="002447F6"/>
    <w:rsid w:val="00247B39"/>
    <w:rsid w:val="002607B9"/>
    <w:rsid w:val="00265F71"/>
    <w:rsid w:val="002E3D11"/>
    <w:rsid w:val="002F77E5"/>
    <w:rsid w:val="00307CD3"/>
    <w:rsid w:val="00315BE5"/>
    <w:rsid w:val="003460A0"/>
    <w:rsid w:val="00353AD7"/>
    <w:rsid w:val="003A0332"/>
    <w:rsid w:val="003F636B"/>
    <w:rsid w:val="00420DB2"/>
    <w:rsid w:val="0044207F"/>
    <w:rsid w:val="0048283C"/>
    <w:rsid w:val="004D5710"/>
    <w:rsid w:val="004F542C"/>
    <w:rsid w:val="00550A4A"/>
    <w:rsid w:val="005538C9"/>
    <w:rsid w:val="005667BC"/>
    <w:rsid w:val="005A4A7E"/>
    <w:rsid w:val="005C49EF"/>
    <w:rsid w:val="005F0A94"/>
    <w:rsid w:val="00610597"/>
    <w:rsid w:val="00610663"/>
    <w:rsid w:val="00616EB4"/>
    <w:rsid w:val="0066351E"/>
    <w:rsid w:val="00691FA8"/>
    <w:rsid w:val="006A6786"/>
    <w:rsid w:val="006B2EDC"/>
    <w:rsid w:val="006C7885"/>
    <w:rsid w:val="006D3381"/>
    <w:rsid w:val="006E600C"/>
    <w:rsid w:val="00785C4E"/>
    <w:rsid w:val="007A6644"/>
    <w:rsid w:val="0082159D"/>
    <w:rsid w:val="00834B22"/>
    <w:rsid w:val="008351B6"/>
    <w:rsid w:val="008503CF"/>
    <w:rsid w:val="00867A37"/>
    <w:rsid w:val="008A10A6"/>
    <w:rsid w:val="008D32FC"/>
    <w:rsid w:val="00937399"/>
    <w:rsid w:val="009D4E62"/>
    <w:rsid w:val="00A07177"/>
    <w:rsid w:val="00A87604"/>
    <w:rsid w:val="00B12059"/>
    <w:rsid w:val="00B32293"/>
    <w:rsid w:val="00B718F5"/>
    <w:rsid w:val="00B90B92"/>
    <w:rsid w:val="00BB0938"/>
    <w:rsid w:val="00BB259A"/>
    <w:rsid w:val="00BC1DEF"/>
    <w:rsid w:val="00BC4088"/>
    <w:rsid w:val="00BF513D"/>
    <w:rsid w:val="00C16EFC"/>
    <w:rsid w:val="00C97FAE"/>
    <w:rsid w:val="00CC1CE5"/>
    <w:rsid w:val="00CC393A"/>
    <w:rsid w:val="00D0095F"/>
    <w:rsid w:val="00D50578"/>
    <w:rsid w:val="00D625F1"/>
    <w:rsid w:val="00D64B65"/>
    <w:rsid w:val="00D677FE"/>
    <w:rsid w:val="00DB69C0"/>
    <w:rsid w:val="00DB7DE9"/>
    <w:rsid w:val="00DC4D4C"/>
    <w:rsid w:val="00DD7D16"/>
    <w:rsid w:val="00EA2922"/>
    <w:rsid w:val="00ED7C16"/>
    <w:rsid w:val="00EE2B0F"/>
    <w:rsid w:val="00EE52D1"/>
    <w:rsid w:val="00F352BC"/>
    <w:rsid w:val="00F4604E"/>
    <w:rsid w:val="00F53731"/>
    <w:rsid w:val="00F72984"/>
    <w:rsid w:val="00F7674E"/>
    <w:rsid w:val="00F97604"/>
    <w:rsid w:val="00FA7EE2"/>
    <w:rsid w:val="00FD0030"/>
    <w:rsid w:val="01BE7732"/>
    <w:rsid w:val="02CF4CE8"/>
    <w:rsid w:val="04156BFD"/>
    <w:rsid w:val="05063D7F"/>
    <w:rsid w:val="05A5708C"/>
    <w:rsid w:val="06997F2C"/>
    <w:rsid w:val="09A34AE0"/>
    <w:rsid w:val="0AFB5144"/>
    <w:rsid w:val="0B786794"/>
    <w:rsid w:val="0C00483C"/>
    <w:rsid w:val="0D9804AC"/>
    <w:rsid w:val="0DDA791E"/>
    <w:rsid w:val="123353A1"/>
    <w:rsid w:val="130F49E2"/>
    <w:rsid w:val="13936861"/>
    <w:rsid w:val="15E96C0C"/>
    <w:rsid w:val="17977775"/>
    <w:rsid w:val="17C34BBF"/>
    <w:rsid w:val="1D927673"/>
    <w:rsid w:val="1EE76F8F"/>
    <w:rsid w:val="208F6602"/>
    <w:rsid w:val="21641450"/>
    <w:rsid w:val="2200260F"/>
    <w:rsid w:val="226A2E83"/>
    <w:rsid w:val="23711FD7"/>
    <w:rsid w:val="24F5659E"/>
    <w:rsid w:val="251610A0"/>
    <w:rsid w:val="25B8207E"/>
    <w:rsid w:val="26705BD1"/>
    <w:rsid w:val="26736BAE"/>
    <w:rsid w:val="298A635B"/>
    <w:rsid w:val="2C286CBB"/>
    <w:rsid w:val="2EC9480B"/>
    <w:rsid w:val="2F0D62B4"/>
    <w:rsid w:val="2F351EA3"/>
    <w:rsid w:val="34582D2C"/>
    <w:rsid w:val="371337D0"/>
    <w:rsid w:val="37702892"/>
    <w:rsid w:val="386720F1"/>
    <w:rsid w:val="3C460065"/>
    <w:rsid w:val="3C527DA1"/>
    <w:rsid w:val="3CF47A8D"/>
    <w:rsid w:val="3D5B2BB6"/>
    <w:rsid w:val="3DE63740"/>
    <w:rsid w:val="3E267C4F"/>
    <w:rsid w:val="3FB419F3"/>
    <w:rsid w:val="40400BE3"/>
    <w:rsid w:val="4150251C"/>
    <w:rsid w:val="442624E3"/>
    <w:rsid w:val="479733DA"/>
    <w:rsid w:val="481351D2"/>
    <w:rsid w:val="4AB1034C"/>
    <w:rsid w:val="5248189E"/>
    <w:rsid w:val="53543565"/>
    <w:rsid w:val="558A062C"/>
    <w:rsid w:val="55D20C3F"/>
    <w:rsid w:val="563D1124"/>
    <w:rsid w:val="57CC3356"/>
    <w:rsid w:val="5B2F58ED"/>
    <w:rsid w:val="5B8E0527"/>
    <w:rsid w:val="5BE5455C"/>
    <w:rsid w:val="5BE87A71"/>
    <w:rsid w:val="5F066F8F"/>
    <w:rsid w:val="622F12CF"/>
    <w:rsid w:val="63A92BB6"/>
    <w:rsid w:val="68101585"/>
    <w:rsid w:val="69623539"/>
    <w:rsid w:val="6A2E56A6"/>
    <w:rsid w:val="6A464C09"/>
    <w:rsid w:val="6C552A97"/>
    <w:rsid w:val="6D384E6C"/>
    <w:rsid w:val="730257DC"/>
    <w:rsid w:val="76CA01A5"/>
    <w:rsid w:val="775E649E"/>
    <w:rsid w:val="7785787E"/>
    <w:rsid w:val="786D6300"/>
    <w:rsid w:val="78D802CB"/>
    <w:rsid w:val="79F878A6"/>
    <w:rsid w:val="7BB07870"/>
    <w:rsid w:val="7C596F70"/>
    <w:rsid w:val="7E541E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styleId="2">
    <w:name w:val="heading 2"/>
    <w:basedOn w:val="1"/>
    <w:next w:val="1"/>
    <w:unhideWhenUsed/>
    <w:qFormat/>
    <w:uiPriority w:val="9"/>
    <w:pPr>
      <w:keepNext/>
      <w:keepLines/>
      <w:spacing w:before="320" w:after="320" w:line="576" w:lineRule="auto"/>
      <w:jc w:val="center"/>
      <w:outlineLvl w:val="1"/>
    </w:pPr>
    <w:rPr>
      <w:rFonts w:eastAsia="方正黑体_GBK" w:asciiTheme="majorHAnsi" w:hAnsiTheme="majorHAnsi" w:cstheme="majorBidi"/>
      <w:bCs/>
      <w:szCs w:val="32"/>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Plain Text"/>
    <w:basedOn w:val="1"/>
    <w:unhideWhenUsed/>
    <w:qFormat/>
    <w:uiPriority w:val="99"/>
    <w:rPr>
      <w:rFonts w:ascii="宋体" w:hAnsi="Courier New" w:cs="Courier New"/>
      <w:szCs w:val="21"/>
    </w:rPr>
  </w:style>
  <w:style w:type="paragraph" w:styleId="4">
    <w:name w:val="footer"/>
    <w:basedOn w:val="1"/>
    <w:link w:val="10"/>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character" w:styleId="8">
    <w:name w:val="FollowedHyperlink"/>
    <w:unhideWhenUsed/>
    <w:qFormat/>
    <w:uiPriority w:val="99"/>
    <w:rPr>
      <w:color w:val="954F72"/>
      <w:u w:val="single"/>
    </w:rPr>
  </w:style>
  <w:style w:type="character" w:styleId="9">
    <w:name w:val="Hyperlink"/>
    <w:qFormat/>
    <w:uiPriority w:val="99"/>
    <w:rPr>
      <w:rFonts w:hint="default" w:ascii="ˎ̥" w:hAnsi="ˎ̥"/>
      <w:color w:val="0404B3"/>
      <w:sz w:val="18"/>
      <w:szCs w:val="18"/>
      <w:u w:val="none"/>
    </w:rPr>
  </w:style>
  <w:style w:type="character" w:customStyle="1" w:styleId="10">
    <w:name w:val="页脚 Char"/>
    <w:link w:val="4"/>
    <w:qFormat/>
    <w:uiPriority w:val="99"/>
    <w:rPr>
      <w:sz w:val="18"/>
      <w:szCs w:val="18"/>
    </w:rPr>
  </w:style>
  <w:style w:type="character" w:customStyle="1" w:styleId="11">
    <w:name w:val="页眉 Char"/>
    <w:link w:val="5"/>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9dfa285f-c59e-497b-9fd5-98cd260179a2</errorID>
      <errorWord>法律、法规</errorWord>
      <group>L1_Word</group>
      <groupName>字词问题</groupName>
      <ability>L2_Typo</ability>
      <abilityName>字词错误</abilityName>
      <candidateList>
        <item>法律法规</item>
      </candidateList>
      <explain/>
      <paraID>64CCCB11</paraID>
      <start>52</start>
      <end>57</end>
      <status>unmodified</status>
      <modifiedWord/>
      <trackRevisions>false</trackRevisions>
    </reviewItem>
    <reviewItem>
      <errorID>5a59987f-28a0-48a3-879c-eab4356f5f5f</errorID>
      <errorWord>法律、法规</errorWord>
      <group>L1_Word</group>
      <groupName>字词问题</groupName>
      <ability>L2_Typo</ability>
      <abilityName>字词错误</abilityName>
      <candidateList>
        <item>法律法规</item>
      </candidateList>
      <explain/>
      <paraID>3B7FAC9E</paraID>
      <start>56</start>
      <end>61</end>
      <status>unmodified</status>
      <modifiedWord/>
      <trackRevisions>false</trackRevisions>
    </reviewItem>
    <reviewItem>
      <errorID>68a0bc9b-8616-495d-9ece-a5a0854e5c67</errorID>
      <errorWord>法律、法规</errorWord>
      <group>L1_Word</group>
      <groupName>字词问题</groupName>
      <ability>L2_Typo</ability>
      <abilityName>字词错误</abilityName>
      <candidateList>
        <item>法律法规</item>
      </candidateList>
      <explain/>
      <paraID>7FA307A9</paraID>
      <start>14</start>
      <end>19</end>
      <status>unmodified</status>
      <modifiedWord/>
      <trackRevisions>false</trackRevisions>
    </reviewItem>
    <reviewItem>
      <errorID>674b6f13-1056-450d-a330-2b2f387f62fe</errorID>
      <errorWord>法律、法规</errorWord>
      <group>L1_Word</group>
      <groupName>字词问题</groupName>
      <ability>L2_Typo</ability>
      <abilityName>字词错误</abilityName>
      <candidateList>
        <item>法律法规</item>
      </candidateList>
      <explain/>
      <paraID>1DD8409A</paraID>
      <start>11</start>
      <end>16</end>
      <status>unmodified</status>
      <modifiedWord/>
      <trackRevisions>false</trackRevisions>
    </reviewItem>
    <reviewItem>
      <errorID>96d27d28-0e2e-4457-b4a6-137a4c42c133</errorID>
      <errorWord>法律、法规</errorWord>
      <group>L1_Word</group>
      <groupName>字词问题</groupName>
      <ability>L2_Typo</ability>
      <abilityName>字词错误</abilityName>
      <candidateList>
        <item>法律法规</item>
      </candidateList>
      <explain/>
      <paraID>76531168</paraID>
      <start>35</start>
      <end>40</end>
      <status>unmodified</status>
      <modifiedWord/>
      <trackRevisions>false</trackRevisions>
    </reviewItem>
  </reviewItems>
  <config/>
</contractReview>
</file>

<file path=customXml/itemProps1.xml><?xml version="1.0" encoding="utf-8"?>
<ds:datastoreItem xmlns:ds="http://schemas.openxmlformats.org/officeDocument/2006/customXml" ds:itemID="{1939c36d-b010-45a1-9af3-679bbfb0fd0c}">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15</Pages>
  <Words>6862</Words>
  <Characters>6869</Characters>
  <Lines>87</Lines>
  <Paragraphs>24</Paragraphs>
  <TotalTime>132</TotalTime>
  <ScaleCrop>false</ScaleCrop>
  <LinksUpToDate>false</LinksUpToDate>
  <CharactersWithSpaces>6949</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2017-11-15T02:33:00Z</dcterms:created>
  <dc:creator>YF-INT6</dc:creator>
  <cp:lastModifiedBy>蔡</cp:lastModifiedBy>
  <cp:lastPrinted>2024-07-19T01:09:00Z</cp:lastPrinted>
  <dcterms:modified xsi:type="dcterms:W3CDTF">2026-09-09T07:06:49Z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1E4A5E7D82FD4149ACB935FDC986A867_13</vt:lpwstr>
  </property>
  <property fmtid="{D5CDD505-2E9C-101B-9397-08002B2CF9AE}" pid="3" name="KSOProductBuildVer">
    <vt:lpwstr>2052-12.8.2.18205</vt:lpwstr>
  </property>
  <property fmtid="{D5CDD505-2E9C-101B-9397-08002B2CF9AE}" pid="4" name="KSOTemplateDocerSaveRecord">
    <vt:lpwstr>eyJoZGlkIjoiMGZmY2QzNzQxNzZmZjBiNDNkNTZkZjlhNjgzNTI2YTUiLCJ1c2VySWQiOiIyNDQ5MjY5MzgifQ==</vt:lpwstr>
  </property>
</Properties>
</file>