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widowControl/>
        <w:spacing w:after="110" w:line="259" w:lineRule="auto"/>
        <w:ind w:left="13" w:right="151" w:hanging="10"/>
        <w:jc w:val="center"/>
        <w:outlineLvl w:val="0"/>
        <w:rPr>
          <w:rFonts w:hint="default" w:ascii="Times New Roman" w:hAnsi="Times New Roman" w:eastAsia="方正小标宋_GBK" w:cs="Times New Roman"/>
          <w:color w:val="000000"/>
          <w:sz w:val="36"/>
          <w:szCs w:val="36"/>
          <w:highlight w:val="none"/>
        </w:rPr>
      </w:pPr>
      <w:r>
        <w:rPr>
          <w:rFonts w:hint="eastAsia" w:eastAsia="方正小标宋_GBK" w:cs="Times New Roman"/>
          <w:color w:val="000000"/>
          <w:sz w:val="36"/>
          <w:szCs w:val="36"/>
          <w:highlight w:val="none"/>
          <w:lang w:eastAsia="zh-CN"/>
        </w:rPr>
        <w:t>广东省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36"/>
          <w:highlight w:val="none"/>
        </w:rPr>
        <w:t>工伤保险异地就医（康复）备案表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240" w:lineRule="auto"/>
        <w:ind w:left="0" w:leftChars="0" w:right="1050" w:rightChars="500" w:firstLine="0" w:firstLineChars="0"/>
        <w:jc w:val="right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szCs w:val="21"/>
          <w:lang w:val="en-US" w:eastAsia="zh-Hans"/>
        </w:rPr>
      </w:pPr>
      <w:r>
        <w:rPr>
          <w:rFonts w:hint="default" w:ascii="Times New Roman" w:hAnsi="Times New Roman" w:eastAsia="仿宋_GB2312" w:cs="Times New Roman"/>
          <w:color w:val="000000"/>
          <w:szCs w:val="21"/>
          <w:lang w:val="en-US" w:eastAsia="zh-CN"/>
        </w:rPr>
        <w:t xml:space="preserve">                                                           </w:t>
      </w:r>
      <w:r>
        <w:rPr>
          <w:rFonts w:hint="default" w:ascii="Times New Roman" w:hAnsi="Times New Roman" w:eastAsia="仿宋_GB2312" w:cs="Times New Roman"/>
          <w:color w:val="000000"/>
          <w:szCs w:val="21"/>
          <w:lang w:val="en-US" w:eastAsia="zh-Hans"/>
        </w:rPr>
        <w:t>编号：</w:t>
      </w:r>
    </w:p>
    <w:tbl>
      <w:tblPr>
        <w:tblStyle w:val="9"/>
        <w:tblpPr w:leftFromText="180" w:rightFromText="180" w:vertAnchor="text" w:horzAnchor="page" w:tblpX="2092" w:tblpY="217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643"/>
        <w:gridCol w:w="2171"/>
        <w:gridCol w:w="1599"/>
        <w:gridCol w:w="1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工伤职工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基本信息</w:t>
            </w:r>
          </w:p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姓名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性别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公民身份号码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受伤部位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0"/>
                <w:szCs w:val="21"/>
                <w:lang w:val="en-US" w:eastAsia="zh-Hans"/>
              </w:rPr>
              <w:t>认定工伤决定书文（编）号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联系电话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autoSpaceDN w:val="0"/>
              <w:jc w:val="left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联系地址</w:t>
            </w:r>
          </w:p>
        </w:tc>
        <w:tc>
          <w:tcPr>
            <w:tcW w:w="54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备案信息</w:t>
            </w: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备案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类别</w:t>
            </w:r>
          </w:p>
        </w:tc>
        <w:tc>
          <w:tcPr>
            <w:tcW w:w="54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新增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人员类别</w:t>
            </w:r>
          </w:p>
        </w:tc>
        <w:tc>
          <w:tcPr>
            <w:tcW w:w="543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异地长期居住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就医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异地长期居住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康复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 xml:space="preserve">         </w:t>
            </w:r>
          </w:p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常驻异地工作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就医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常驻异地工作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康复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人员</w:t>
            </w:r>
          </w:p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异地转诊转院就医人员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异地转诊转院康复人员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申请人</w:t>
            </w:r>
          </w:p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基本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信息</w:t>
            </w:r>
          </w:p>
        </w:tc>
        <w:tc>
          <w:tcPr>
            <w:tcW w:w="38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工伤职工近亲属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</w:p>
        </w:tc>
        <w:tc>
          <w:tcPr>
            <w:tcW w:w="15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近亲属姓名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近亲属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公民身份号码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15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联系方式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0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0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1260" w:rightChars="600" w:firstLine="0" w:firstLineChars="0"/>
              <w:jc w:val="righ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申请人：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1260" w:rightChars="60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（指印）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1050" w:rightChars="500" w:firstLine="0" w:firstLineChars="0"/>
              <w:jc w:val="righ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0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就医地</w:t>
            </w:r>
          </w:p>
        </w:tc>
        <w:tc>
          <w:tcPr>
            <w:tcW w:w="70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省（自治区、直辖市）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市（县、区）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0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转出地</w:t>
            </w: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协议机构意见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（仅转诊转院时提供）</w:t>
            </w:r>
          </w:p>
        </w:tc>
        <w:tc>
          <w:tcPr>
            <w:tcW w:w="70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ordWrap w:val="0"/>
              <w:autoSpaceDN w:val="0"/>
              <w:jc w:val="right"/>
              <w:textAlignment w:val="center"/>
              <w:rPr>
                <w:rFonts w:hint="default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</w:pPr>
          </w:p>
          <w:p>
            <w:pPr>
              <w:pStyle w:val="2"/>
              <w:wordWrap/>
              <w:rPr>
                <w:rFonts w:hint="default"/>
                <w:lang w:eastAsia="zh-CN"/>
              </w:rPr>
            </w:pPr>
          </w:p>
          <w:p>
            <w:pPr>
              <w:wordWrap w:val="0"/>
              <w:autoSpaceDN w:val="0"/>
              <w:jc w:val="right"/>
              <w:textAlignment w:val="center"/>
              <w:rPr>
                <w:rFonts w:hint="eastAsia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医疗机构（章）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 </w:t>
            </w:r>
          </w:p>
          <w:p>
            <w:pPr>
              <w:wordWrap w:val="0"/>
              <w:autoSpaceDN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eastAsia="zh-CN"/>
              </w:rPr>
              <w:t>医师：                       年     月     日</w:t>
            </w:r>
            <w:r>
              <w:rPr>
                <w:rFonts w:hint="eastAsia" w:ascii="仿宋_GB2312" w:hAnsi="仿宋_GB2312" w:eastAsia="仿宋_GB2312"/>
                <w:b w:val="0"/>
                <w:i w:val="0"/>
                <w:snapToGrid/>
                <w:color w:val="auto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0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参保地</w:t>
            </w:r>
          </w:p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经办机构意见</w:t>
            </w:r>
          </w:p>
        </w:tc>
        <w:tc>
          <w:tcPr>
            <w:tcW w:w="7082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  <w:p>
            <w:pPr>
              <w:autoSpaceDN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不同意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eastAsia="zh-Hans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  <w:lang w:eastAsia="zh-Hans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  <w:lang w:val="en-US" w:eastAsia="zh-Hans"/>
              </w:rPr>
              <w:t>理由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none"/>
                <w:lang w:eastAsia="zh-Hans"/>
              </w:rPr>
              <w:t>）</w:t>
            </w:r>
          </w:p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</w:pPr>
          </w:p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CN"/>
              </w:rPr>
              <w:t>备案有效期：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日至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1260" w:rightChars="600" w:firstLine="0" w:firstLineChars="0"/>
              <w:jc w:val="righ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left="0" w:leftChars="0" w:right="840" w:rightChars="400" w:firstLine="0" w:firstLineChars="0"/>
              <w:jc w:val="right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（经办机构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CN"/>
              </w:rPr>
              <w:t>盖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章）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经办人：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eastAsia="zh-Hans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lang w:val="en-US" w:eastAsia="zh-Hans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11" w:right="0" w:rightChars="0" w:hanging="11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备注：</w:t>
      </w:r>
      <w:r>
        <w:rPr>
          <w:rFonts w:hint="default" w:ascii="Times New Roman" w:hAnsi="Times New Roman" w:eastAsia="Times New Roman" w:cs="Times New Roman"/>
          <w:color w:val="auto"/>
          <w:szCs w:val="22"/>
          <w:highlight w:val="none"/>
        </w:rPr>
        <w:t>1.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本表一式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  <w:t>二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份，经办机构留存一份，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Hans"/>
        </w:rPr>
        <w:t>申请人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留存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  <w:t>一份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631" w:leftChars="0" w:right="0" w:rightChars="0" w:firstLine="9" w:firstLineChars="0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</w:pPr>
      <w:r>
        <w:rPr>
          <w:rFonts w:hint="default" w:ascii="Times New Roman" w:hAnsi="Times New Roman" w:eastAsia="Times New Roman" w:cs="Times New Roman"/>
          <w:color w:val="auto"/>
          <w:szCs w:val="22"/>
          <w:highlight w:val="none"/>
        </w:rPr>
        <w:t>2.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本表供工伤职工</w:t>
      </w:r>
      <w:r>
        <w:rPr>
          <w:rFonts w:hint="eastAsia" w:eastAsia="楷体" w:cs="Times New Roman"/>
          <w:color w:val="auto"/>
          <w:szCs w:val="22"/>
          <w:highlight w:val="none"/>
          <w:lang w:eastAsia="zh-CN"/>
        </w:rPr>
        <w:t>（含职业伤害人员，</w:t>
      </w: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下同</w:t>
      </w:r>
      <w:r>
        <w:rPr>
          <w:rFonts w:hint="eastAsia" w:eastAsia="楷体" w:cs="Times New Roman"/>
          <w:color w:val="auto"/>
          <w:szCs w:val="22"/>
          <w:highlight w:val="none"/>
          <w:lang w:eastAsia="zh-CN"/>
        </w:rPr>
        <w:t>）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Hans"/>
        </w:rPr>
        <w:t>及其近亲属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申请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备案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  <w:t>使用</w:t>
      </w:r>
      <w:r>
        <w:rPr>
          <w:rFonts w:hint="eastAsia" w:eastAsia="楷体" w:cs="Times New Roman"/>
          <w:color w:val="auto"/>
          <w:szCs w:val="22"/>
          <w:highlight w:val="none"/>
          <w:lang w:eastAsia="zh-CN"/>
        </w:rPr>
        <w:t>。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工伤职工近亲属申请的，另须提供其有效身份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  <w:t>证件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和与工伤职工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Hans"/>
        </w:rPr>
        <w:t>的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</w:rPr>
        <w:t>关系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eastAsia="zh-CN"/>
        </w:rPr>
        <w:t>佐证材料，工伤职工委托他人申请的，另须提供授权委托书；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631" w:leftChars="0" w:right="0" w:rightChars="0" w:firstLine="9" w:firstLineChars="0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3.转诊转院工伤职工另须提供参保地</w:t>
      </w: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所在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的</w:t>
      </w: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二级及以上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协议机构转诊转院意见</w:t>
      </w: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，职业伤害人员须提供省内二级及以上</w:t>
      </w: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协议机构转诊转院意见；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631" w:leftChars="0" w:right="0" w:rightChars="0" w:firstLine="9" w:firstLineChars="0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4.异地长期居住工伤职工，居住地为户籍所在地的另须提供户籍相关材料、居住地为非户籍所在地的须提供居住证、村（居）委会证明等长期居住佐证材料；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631" w:leftChars="0" w:right="0" w:rightChars="0" w:firstLine="9" w:firstLineChars="0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  <w:t>5.常驻异地工作工伤职工，另须提供常驻异地工作的佐证材料（参保地工作单位派出证明、异地工作单位证明、劳动合同等）</w:t>
      </w: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260" w:lineRule="exact"/>
        <w:ind w:left="631" w:leftChars="0" w:right="0" w:rightChars="0" w:firstLine="9" w:firstLineChars="0"/>
        <w:jc w:val="left"/>
        <w:textAlignment w:val="auto"/>
        <w:outlineLvl w:val="9"/>
        <w:rPr>
          <w:rFonts w:hint="default" w:ascii="Times New Roman" w:hAnsi="Times New Roman" w:eastAsia="楷体" w:cs="Times New Roman"/>
          <w:color w:val="auto"/>
          <w:szCs w:val="22"/>
          <w:highlight w:val="none"/>
          <w:lang w:val="en-US" w:eastAsia="zh-CN"/>
        </w:rPr>
      </w:pPr>
      <w:r>
        <w:rPr>
          <w:rFonts w:hint="eastAsia" w:eastAsia="楷体" w:cs="Times New Roman"/>
          <w:color w:val="auto"/>
          <w:szCs w:val="22"/>
          <w:highlight w:val="none"/>
          <w:lang w:val="en-US" w:eastAsia="zh-CN"/>
        </w:rPr>
        <w:t>6.工伤保险诊疗项目目录、工伤保险药品目录、工伤保险住院服务标准按照国家和省的有关规定执行。</w:t>
      </w:r>
    </w:p>
    <w:p>
      <w:pPr>
        <w:pStyle w:val="2"/>
        <w:rPr>
          <w:rFonts w:hint="default" w:ascii="Times New Roman" w:hAnsi="Times New Roman" w:eastAsia="楷体" w:cs="Times New Roman"/>
          <w:color w:val="000000"/>
          <w:szCs w:val="22"/>
          <w:lang w:val="en-US" w:eastAsia="zh-CN"/>
        </w:rPr>
      </w:pPr>
    </w:p>
    <w:p>
      <w:pPr>
        <w:widowControl/>
        <w:spacing w:line="240" w:lineRule="auto"/>
        <w:ind w:firstLine="0"/>
        <w:jc w:val="left"/>
        <w:rPr>
          <w:rFonts w:hint="default" w:ascii="Times New Roman" w:hAnsi="Times New Roman" w:eastAsia="楷体" w:cs="Times New Roman"/>
          <w:color w:val="000000"/>
          <w:sz w:val="21"/>
          <w:szCs w:val="22"/>
          <w:lang w:val="en-US" w:eastAsia="zh-CN"/>
        </w:rPr>
      </w:pPr>
    </w:p>
    <w:sectPr>
      <w:footerReference r:id="rId3" w:type="default"/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2566670</wp:posOffset>
              </wp:positionH>
              <wp:positionV relativeFrom="paragraph">
                <wp:posOffset>10795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1pt;margin-top:0.85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KAAAAAACHTuJAAAAAAAAAAAAAAAAA&#10;BgAAAAAAAAAAABAAAACZAwAAX3JlbHMvUEsBAhQACgAAAAAAh07iQAAAAAAAAAAAAAAAAAQAAAAA&#10;AAAAAAAQAAAAFgAAAGRycy9QSwECFAAUAAAACACHTuJA9YuHZDICAABhBAAADgAAAAAAAAABACAA&#10;AAA7AQAAZHJzL2Uyb0RvYy54bWxQSwECFAAUAAAACACHTuJA9CmgttYAAAAJAQAADwAAAAAAAAAB&#10;ACAAAAA4AAAAZHJzL2Rvd25yZXY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E70A4A"/>
    <w:rsid w:val="040628A2"/>
    <w:rsid w:val="0687687D"/>
    <w:rsid w:val="069A6F62"/>
    <w:rsid w:val="07C766CF"/>
    <w:rsid w:val="092003CD"/>
    <w:rsid w:val="094C1D4E"/>
    <w:rsid w:val="0A8452CE"/>
    <w:rsid w:val="0B7E67EB"/>
    <w:rsid w:val="0BF4422B"/>
    <w:rsid w:val="12154D3D"/>
    <w:rsid w:val="1C1D579A"/>
    <w:rsid w:val="1C2E0CC8"/>
    <w:rsid w:val="1C4466EF"/>
    <w:rsid w:val="1CDA4664"/>
    <w:rsid w:val="211F1DE5"/>
    <w:rsid w:val="282D0F56"/>
    <w:rsid w:val="29223789"/>
    <w:rsid w:val="2A4C79F4"/>
    <w:rsid w:val="2A8E6AF0"/>
    <w:rsid w:val="2AEC1AFB"/>
    <w:rsid w:val="2C9C5FBF"/>
    <w:rsid w:val="2D556612"/>
    <w:rsid w:val="2DC56152"/>
    <w:rsid w:val="2F5A5DED"/>
    <w:rsid w:val="2FE4780C"/>
    <w:rsid w:val="33561BB9"/>
    <w:rsid w:val="35E70A4A"/>
    <w:rsid w:val="36E13395"/>
    <w:rsid w:val="37FF15EF"/>
    <w:rsid w:val="388325EA"/>
    <w:rsid w:val="3969753C"/>
    <w:rsid w:val="39931A9A"/>
    <w:rsid w:val="399975A3"/>
    <w:rsid w:val="39A44A75"/>
    <w:rsid w:val="3A6329D5"/>
    <w:rsid w:val="3AF215C1"/>
    <w:rsid w:val="3CC06339"/>
    <w:rsid w:val="433F7165"/>
    <w:rsid w:val="4A952667"/>
    <w:rsid w:val="4B043FA0"/>
    <w:rsid w:val="4EB124A8"/>
    <w:rsid w:val="53986FA1"/>
    <w:rsid w:val="541C17B1"/>
    <w:rsid w:val="557059AD"/>
    <w:rsid w:val="59346469"/>
    <w:rsid w:val="5E011E64"/>
    <w:rsid w:val="5E6050CB"/>
    <w:rsid w:val="623A7ECF"/>
    <w:rsid w:val="634E16F7"/>
    <w:rsid w:val="63B43291"/>
    <w:rsid w:val="64F87534"/>
    <w:rsid w:val="71FA511C"/>
    <w:rsid w:val="770664D6"/>
    <w:rsid w:val="785B7179"/>
    <w:rsid w:val="7A2B7F7C"/>
    <w:rsid w:val="7A7F36FD"/>
    <w:rsid w:val="7B6C638A"/>
    <w:rsid w:val="7C3D00AF"/>
    <w:rsid w:val="7C5E6C17"/>
    <w:rsid w:val="7D4C0330"/>
    <w:rsid w:val="7F9676DE"/>
    <w:rsid w:val="DFFEB5B1"/>
    <w:rsid w:val="E715D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keepNext/>
      <w:keepLines/>
      <w:spacing w:before="100" w:beforeLines="0" w:beforeAutospacing="0" w:after="90" w:afterLines="0" w:afterAutospacing="0" w:line="240" w:lineRule="auto"/>
      <w:jc w:val="center"/>
      <w:outlineLvl w:val="0"/>
    </w:pPr>
    <w:rPr>
      <w:rFonts w:ascii="Times New Roman" w:hAnsi="Times New Roman" w:eastAsia="创艺简标宋"/>
      <w:kern w:val="44"/>
      <w:sz w:val="32"/>
    </w:rPr>
  </w:style>
  <w:style w:type="paragraph" w:styleId="4">
    <w:name w:val="heading 2"/>
    <w:basedOn w:val="1"/>
    <w:next w:val="1"/>
    <w:unhideWhenUsed/>
    <w:qFormat/>
    <w:uiPriority w:val="0"/>
    <w:pPr>
      <w:adjustRightInd w:val="0"/>
      <w:snapToGrid w:val="0"/>
      <w:spacing w:line="360" w:lineRule="auto"/>
      <w:outlineLvl w:val="1"/>
    </w:pPr>
    <w:rPr>
      <w:rFonts w:ascii="Arial" w:hAnsi="Arial" w:eastAsia="仿宋_GB2312"/>
      <w:sz w:val="30"/>
      <w:lang w:val="en-US" w:eastAsia="zh-CN" w:bidi="ar-SA"/>
    </w:rPr>
  </w:style>
  <w:style w:type="paragraph" w:styleId="5">
    <w:name w:val="heading 3"/>
    <w:basedOn w:val="3"/>
    <w:next w:val="1"/>
    <w:unhideWhenUsed/>
    <w:qFormat/>
    <w:uiPriority w:val="0"/>
    <w:pPr>
      <w:keepNext/>
      <w:keepLines/>
      <w:spacing w:before="0" w:beforeLines="0" w:beforeAutospacing="0" w:after="0" w:afterLines="0" w:afterAutospacing="0" w:line="240" w:lineRule="auto"/>
      <w:ind w:leftChars="200"/>
      <w:jc w:val="both"/>
      <w:outlineLvl w:val="2"/>
    </w:pPr>
    <w:rPr>
      <w:rFonts w:ascii="Times New Roman" w:hAnsi="Times New Roman"/>
      <w:sz w:val="21"/>
    </w:rPr>
  </w:style>
  <w:style w:type="paragraph" w:styleId="6">
    <w:name w:val="heading 4"/>
    <w:basedOn w:val="1"/>
    <w:next w:val="1"/>
    <w:link w:val="12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jc w:val="center"/>
      <w:outlineLvl w:val="3"/>
    </w:pPr>
    <w:rPr>
      <w:rFonts w:ascii="Arial" w:hAnsi="Arial" w:eastAsia="黑体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unhideWhenUsed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next w:val="1"/>
    <w:link w:val="11"/>
    <w:qFormat/>
    <w:uiPriority w:val="0"/>
    <w:pPr>
      <w:jc w:val="center"/>
    </w:pPr>
    <w:rPr>
      <w:rFonts w:ascii="Times New Roman" w:hAnsi="Times New Roman" w:eastAsia="创艺简标宋"/>
      <w:sz w:val="32"/>
    </w:rPr>
  </w:style>
  <w:style w:type="character" w:customStyle="1" w:styleId="11">
    <w:name w:val="普通(网站) Char Char"/>
    <w:link w:val="8"/>
    <w:qFormat/>
    <w:uiPriority w:val="0"/>
    <w:rPr>
      <w:rFonts w:ascii="Times New Roman" w:hAnsi="Times New Roman" w:eastAsia="创艺简标宋"/>
      <w:sz w:val="32"/>
    </w:rPr>
  </w:style>
  <w:style w:type="character" w:customStyle="1" w:styleId="12">
    <w:name w:val="标题 4 Char Char"/>
    <w:link w:val="6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省社会保险基金管理局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2019-08-29T23:10:00Z</dcterms:created>
  <dc:creator>林利雯</dc:creator>
  <cp:lastModifiedBy>陈艺媛</cp:lastModifiedBy>
  <dcterms:modified xsi:type="dcterms:W3CDTF">2025-04-29T15:16:26Z</dcterms:modified>
  <dc:title>广东省社会保险基金管理局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81ABCDA0922E4963856B97792055DA82</vt:lpwstr>
  </property>
  <property fmtid="{D5CDD505-2E9C-101B-9397-08002B2CF9AE}" pid="4" name="showFlag">
    <vt:bool>false</vt:bool>
  </property>
  <property fmtid="{D5CDD505-2E9C-101B-9397-08002B2CF9AE}" pid="5" name="userName">
    <vt:lpwstr>陈柯柯</vt:lpwstr>
  </property>
</Properties>
</file>