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768BE">
      <w:pPr>
        <w:pStyle w:val="11"/>
        <w:bidi w:val="0"/>
        <w:spacing w:beforeAutospacing="0" w:afterAutospacing="0" w:line="460" w:lineRule="exact"/>
        <w:rPr>
          <w:rFonts w:hint="eastAsia" w:ascii="方正仿宋_GBK" w:hAnsi="方正仿宋_GBK" w:eastAsia="方正仿宋_GBK" w:cs="方正仿宋_GBK"/>
          <w:sz w:val="32"/>
          <w:szCs w:val="32"/>
        </w:rPr>
      </w:pPr>
    </w:p>
    <w:p w14:paraId="362201AA">
      <w:pPr>
        <w:spacing w:line="720" w:lineRule="exact"/>
        <w:jc w:val="center"/>
        <w:outlineLvl w:val="9"/>
        <w:rPr>
          <w:rFonts w:hint="eastAsia" w:ascii="方正仿宋_GBK" w:hAnsi="方正仿宋_GBK" w:eastAsia="方正仿宋_GBK" w:cs="方正仿宋_GBK"/>
          <w:sz w:val="32"/>
          <w:szCs w:val="32"/>
        </w:rPr>
      </w:pPr>
      <mc:AlternateContent>
        <mc:Choice Requires="wpsCustomData">
          <wpsCustomData:docfieldStart id="0" docfieldname="标题_1" hidden="0" print="1" readonly="0" index="5"/>
        </mc:Choice>
      </mc:AlternateContent>
      <w:r>
        <w:rPr>
          <w:rFonts w:hint="eastAsia" w:ascii="方正仿宋_GBK" w:hAnsi="方正仿宋_GBK" w:eastAsia="方正仿宋_GBK" w:cs="方正仿宋_GBK"/>
          <w:sz w:val="32"/>
          <w:szCs w:val="32"/>
        </w:rPr>
        <w:t>台山市应急管理“十五五”规划</w:t>
      </w:r>
      <mc:AlternateContent>
        <mc:Choice Requires="wpsCustomData">
          <wpsCustomData:docfieldEnd id="0"/>
        </mc:Choice>
      </mc:AlternateContent>
    </w:p>
    <w:p w14:paraId="77C9C8E1">
      <w:pPr>
        <w:widowControl w:val="0"/>
        <w:bidi w:val="0"/>
        <w:spacing w:beforeAutospacing="0" w:afterAutospacing="0" w:line="300" w:lineRule="exact"/>
        <w:ind w:firstLine="616" w:firstLineChars="200"/>
        <w:jc w:val="both"/>
        <w:outlineLvl w:val="9"/>
        <w:rPr>
          <w:rFonts w:hint="eastAsia" w:ascii="方正仿宋_GBK" w:hAnsi="方正仿宋_GBK" w:eastAsia="方正仿宋_GBK" w:cs="方正仿宋_GBK"/>
          <w:spacing w:val="-6"/>
          <w:kern w:val="2"/>
          <w:sz w:val="32"/>
          <w:szCs w:val="32"/>
          <w:lang w:val="en-US" w:eastAsia="zh-CN" w:bidi="ar-SA"/>
        </w:rPr>
      </w:pPr>
    </w:p>
    <w:p w14:paraId="0DF78E6D">
      <w:pPr>
        <w:spacing w:beforeLines="0" w:beforeAutospacing="0" w:afterLines="0" w:afterAutospacing="0" w:line="720" w:lineRule="exact"/>
        <w:jc w:val="center"/>
        <w:outlineLvl w:val="9"/>
        <w:rPr>
          <w:rFonts w:hint="eastAsia" w:ascii="方正仿宋_GBK" w:hAnsi="方正仿宋_GBK" w:eastAsia="方正仿宋_GBK" w:cs="方正仿宋_GBK"/>
          <w:kern w:val="28"/>
          <w:sz w:val="32"/>
          <w:szCs w:val="32"/>
        </w:rPr>
      </w:pPr>
      <w:r>
        <w:rPr>
          <w:rFonts w:hint="eastAsia" w:ascii="方正仿宋_GBK" w:hAnsi="方正仿宋_GBK" w:eastAsia="方正仿宋_GBK" w:cs="方正仿宋_GBK"/>
          <w:kern w:val="28"/>
          <w:sz w:val="32"/>
          <w:szCs w:val="32"/>
        </w:rPr>
        <w:t>（</w:t>
      </w:r>
      <w:r>
        <w:rPr>
          <w:rFonts w:hint="eastAsia" w:ascii="方正仿宋_GBK" w:hAnsi="方正仿宋_GBK" w:eastAsia="方正仿宋_GBK" w:cs="方正仿宋_GBK"/>
          <w:kern w:val="28"/>
          <w:sz w:val="32"/>
          <w:szCs w:val="32"/>
          <w:lang w:val="en-US" w:eastAsia="zh-CN"/>
        </w:rPr>
        <w:t>征求意见</w:t>
      </w:r>
      <w:r>
        <w:rPr>
          <w:rFonts w:hint="eastAsia" w:ascii="方正仿宋_GBK" w:hAnsi="方正仿宋_GBK" w:eastAsia="方正仿宋_GBK" w:cs="方正仿宋_GBK"/>
          <w:kern w:val="28"/>
          <w:sz w:val="32"/>
          <w:szCs w:val="32"/>
        </w:rPr>
        <w:t>稿）</w:t>
      </w:r>
    </w:p>
    <w:p w14:paraId="6CA295B5">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ab/>
      </w:r>
      <w:bookmarkStart w:id="70" w:name="_GoBack"/>
      <w:bookmarkEnd w:id="70"/>
    </w:p>
    <w:p w14:paraId="23A54A7D">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68D6456F">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78E47D87">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0D1BAC95">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2F50FC2C">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7CE00CC7">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73709653">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49A7880F">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54FFE449">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3145F227">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0D73FF14">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7A017DBE">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4A53162F">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235B0FE6">
      <w:pPr>
        <w:widowControl w:val="0"/>
        <w:tabs>
          <w:tab w:val="left" w:pos="3519"/>
        </w:tabs>
        <w:jc w:val="both"/>
        <w:outlineLvl w:val="9"/>
        <w:rPr>
          <w:rFonts w:hint="eastAsia" w:ascii="方正仿宋_GBK" w:hAnsi="方正仿宋_GBK" w:eastAsia="方正仿宋_GBK" w:cs="方正仿宋_GBK"/>
          <w:b w:val="0"/>
          <w:bCs w:val="0"/>
          <w:kern w:val="2"/>
          <w:sz w:val="32"/>
          <w:szCs w:val="32"/>
          <w:lang w:val="en-US" w:eastAsia="zh-CN" w:bidi="ar-SA"/>
        </w:rPr>
      </w:pPr>
    </w:p>
    <w:p w14:paraId="6EC3517E">
      <w:pPr>
        <w:widowControl w:val="0"/>
        <w:tabs>
          <w:tab w:val="left" w:pos="3519"/>
        </w:tabs>
        <w:ind w:firstLine="3200" w:firstLineChars="1000"/>
        <w:jc w:val="both"/>
        <w:outlineLvl w:val="9"/>
        <w:rPr>
          <w:rFonts w:hint="eastAsia"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台山应急管理局</w:t>
      </w:r>
    </w:p>
    <w:p w14:paraId="6F03D4D3">
      <w:pPr>
        <w:widowControl w:val="0"/>
        <w:tabs>
          <w:tab w:val="left" w:pos="3519"/>
        </w:tabs>
        <w:spacing w:after="0"/>
        <w:ind w:firstLine="3520" w:firstLineChars="1100"/>
        <w:jc w:val="both"/>
        <w:outlineLvl w:val="9"/>
        <w:rPr>
          <w:rFonts w:hint="eastAsia" w:ascii="方正仿宋_GBK" w:hAnsi="方正仿宋_GBK" w:eastAsia="方正仿宋_GBK" w:cs="方正仿宋_GBK"/>
          <w:b w:val="0"/>
          <w:bCs w:val="0"/>
          <w:kern w:val="2"/>
          <w:sz w:val="32"/>
          <w:szCs w:val="32"/>
          <w:lang w:val="en-US" w:eastAsia="zh-CN" w:bidi="ar-SA"/>
        </w:rPr>
        <w:sectPr>
          <w:footerReference r:id="rId3" w:type="default"/>
          <w:footerReference r:id="rId4" w:type="even"/>
          <w:pgSz w:w="11906" w:h="16838"/>
          <w:pgMar w:top="2098" w:right="1474" w:bottom="1984" w:left="1587" w:header="851" w:footer="1417" w:gutter="0"/>
          <w:pgNumType w:fmt="decimal" w:start="1"/>
          <w:cols w:space="720" w:num="1"/>
          <w:rtlGutter w:val="0"/>
          <w:docGrid w:type="linesAndChars" w:linePitch="579" w:charSpace="15"/>
        </w:sectPr>
      </w:pPr>
      <w:r>
        <w:rPr>
          <w:rFonts w:hint="eastAsia" w:ascii="方正仿宋_GBK" w:hAnsi="方正仿宋_GBK" w:eastAsia="方正仿宋_GBK" w:cs="方正仿宋_GBK"/>
          <w:b w:val="0"/>
          <w:bCs w:val="0"/>
          <w:kern w:val="2"/>
          <w:sz w:val="32"/>
          <w:szCs w:val="32"/>
          <w:lang w:val="en-US" w:eastAsia="zh-CN" w:bidi="ar-SA"/>
        </w:rPr>
        <w:t>2026年6月</w:t>
      </w:r>
    </w:p>
    <w:sdt>
      <w:sdtPr>
        <w:rPr>
          <w:rFonts w:ascii="宋体" w:hAnsi="宋体" w:eastAsia="宋体" w:cs="Times New Roman"/>
          <w:kern w:val="2"/>
          <w:sz w:val="21"/>
          <w:lang w:val="en-US" w:eastAsia="zh-CN" w:bidi="ar-SA"/>
        </w:rPr>
        <w:id w:val="147470467"/>
        <w15:color w:val="DBDBDB"/>
        <w:docPartObj>
          <w:docPartGallery w:val="Table of Contents"/>
          <w:docPartUnique/>
        </w:docPartObj>
      </w:sdtPr>
      <w:sdtEndPr>
        <w:rPr>
          <w:rFonts w:hint="eastAsia" w:ascii="方正仿宋_GBK" w:hAnsi="方正仿宋_GBK" w:eastAsia="方正仿宋_GBK" w:cs="方正仿宋_GBK"/>
          <w:kern w:val="2"/>
          <w:sz w:val="30"/>
          <w:szCs w:val="32"/>
          <w:lang w:val="en-US" w:eastAsia="zh-CN" w:bidi="ar-SA"/>
        </w:rPr>
      </w:sdtEndPr>
      <w:sdtContent>
        <w:p w14:paraId="2C8936DC">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14:paraId="219C0495">
          <w:pPr>
            <w:pStyle w:val="15"/>
            <w:keepNext w:val="0"/>
            <w:keepLines w:val="0"/>
            <w:pageBreakBefore w:val="0"/>
            <w:tabs>
              <w:tab w:val="right" w:leader="dot" w:pos="8845"/>
            </w:tabs>
            <w:kinsoku/>
            <w:wordWrap/>
            <w:overflowPunct/>
            <w:topLinePunct w:val="0"/>
            <w:autoSpaceDE/>
            <w:autoSpaceDN/>
            <w:bidi w:val="0"/>
            <w:snapToGrid/>
            <w:spacing w:line="600" w:lineRule="exact"/>
            <w:textAlignment w:val="auto"/>
            <w:rPr>
              <w:rFonts w:hint="eastAsia" w:ascii="仿宋_GB2312" w:hAnsi="仿宋_GB2312" w:eastAsia="仿宋_GB2312" w:cs="仿宋_GB2312"/>
            </w:rPr>
          </w:pPr>
          <w:r>
            <w:rPr>
              <w:rFonts w:hint="eastAsia" w:ascii="方正仿宋_GBK" w:hAnsi="方正仿宋_GBK" w:eastAsia="方正仿宋_GBK" w:cs="方正仿宋_GBK"/>
              <w:kern w:val="2"/>
              <w:sz w:val="32"/>
              <w:szCs w:val="32"/>
              <w:lang w:bidi="ar-SA"/>
            </w:rPr>
            <w:fldChar w:fldCharType="begin"/>
          </w:r>
          <w:r>
            <w:rPr>
              <w:rFonts w:hint="eastAsia" w:ascii="方正仿宋_GBK" w:hAnsi="方正仿宋_GBK" w:eastAsia="方正仿宋_GBK" w:cs="方正仿宋_GBK"/>
              <w:kern w:val="2"/>
              <w:sz w:val="32"/>
              <w:szCs w:val="32"/>
              <w:lang w:bidi="ar-SA"/>
            </w:rPr>
            <w:instrText xml:space="preserve">TOC \o "1-3" \h \u </w:instrText>
          </w:r>
          <w:r>
            <w:rPr>
              <w:rFonts w:hint="eastAsia" w:ascii="方正仿宋_GBK" w:hAnsi="方正仿宋_GBK" w:eastAsia="方正仿宋_GBK" w:cs="方正仿宋_GBK"/>
              <w:kern w:val="2"/>
              <w:sz w:val="32"/>
              <w:szCs w:val="32"/>
              <w:lang w:bidi="ar-SA"/>
            </w:rPr>
            <w:fldChar w:fldCharType="separate"/>
          </w: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_Toc17085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rPr>
            <w:t>第一章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_Toc17085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0D6138E8">
          <w:pPr>
            <w:pStyle w:val="15"/>
            <w:keepNext w:val="0"/>
            <w:keepLines w:val="0"/>
            <w:pageBreakBefore w:val="0"/>
            <w:tabs>
              <w:tab w:val="right" w:leader="dot" w:pos="8845"/>
            </w:tabs>
            <w:kinsoku/>
            <w:wordWrap/>
            <w:overflowPunct/>
            <w:topLinePunct w:val="0"/>
            <w:autoSpaceDE/>
            <w:autoSpaceDN/>
            <w:bidi w:val="0"/>
            <w:snapToGrid/>
            <w:spacing w:line="600" w:lineRule="exact"/>
            <w:ind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_Toc5824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lang w:eastAsia="zh-CN"/>
            </w:rPr>
            <w:t>第一</w:t>
          </w:r>
          <w:r>
            <w:rPr>
              <w:rFonts w:hint="eastAsia" w:ascii="仿宋_GB2312" w:hAnsi="仿宋_GB2312" w:eastAsia="仿宋_GB2312" w:cs="仿宋_GB2312"/>
              <w:lang w:val="en-US" w:eastAsia="zh-CN"/>
            </w:rPr>
            <w:t>节</w:t>
          </w:r>
          <w:r>
            <w:rPr>
              <w:rFonts w:hint="eastAsia" w:ascii="仿宋_GB2312" w:hAnsi="仿宋_GB2312" w:eastAsia="仿宋_GB2312" w:cs="仿宋_GB2312"/>
              <w:bCs/>
              <w:spacing w:val="-6"/>
              <w:kern w:val="44"/>
              <w:szCs w:val="32"/>
              <w:lang w:eastAsia="zh-CN" w:bidi="ar-SA"/>
            </w:rPr>
            <w:t xml:space="preserve"> </w:t>
          </w:r>
          <w:r>
            <w:rPr>
              <w:rFonts w:hint="eastAsia" w:ascii="仿宋_GB2312" w:hAnsi="仿宋_GB2312" w:eastAsia="仿宋_GB2312" w:cs="仿宋_GB2312"/>
            </w:rPr>
            <w:t>指导思想</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_Toc5824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783CD01B">
          <w:pPr>
            <w:pStyle w:val="15"/>
            <w:keepNext w:val="0"/>
            <w:keepLines w:val="0"/>
            <w:pageBreakBefore w:val="0"/>
            <w:tabs>
              <w:tab w:val="right" w:leader="dot" w:pos="8845"/>
            </w:tabs>
            <w:kinsoku/>
            <w:wordWrap/>
            <w:overflowPunct/>
            <w:topLinePunct w:val="0"/>
            <w:autoSpaceDE/>
            <w:autoSpaceDN/>
            <w:bidi w:val="0"/>
            <w:snapToGrid/>
            <w:spacing w:line="600" w:lineRule="exact"/>
            <w:ind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_Toc30930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lang w:eastAsia="zh-CN"/>
            </w:rPr>
            <w:t>第二</w:t>
          </w:r>
          <w:r>
            <w:rPr>
              <w:rFonts w:hint="eastAsia" w:ascii="仿宋_GB2312" w:hAnsi="仿宋_GB2312" w:eastAsia="仿宋_GB2312" w:cs="仿宋_GB2312"/>
              <w:lang w:val="en-US" w:eastAsia="zh-CN"/>
            </w:rPr>
            <w:t>节</w:t>
          </w:r>
          <w:r>
            <w:rPr>
              <w:rFonts w:hint="eastAsia" w:ascii="仿宋_GB2312" w:hAnsi="仿宋_GB2312" w:eastAsia="仿宋_GB2312" w:cs="仿宋_GB2312"/>
              <w:bCs/>
              <w:spacing w:val="-6"/>
              <w:kern w:val="44"/>
              <w:szCs w:val="32"/>
              <w:lang w:eastAsia="zh-CN" w:bidi="ar-SA"/>
            </w:rPr>
            <w:t xml:space="preserve"> </w:t>
          </w:r>
          <w:r>
            <w:rPr>
              <w:rFonts w:hint="eastAsia" w:ascii="仿宋_GB2312" w:hAnsi="仿宋_GB2312" w:eastAsia="仿宋_GB2312" w:cs="仿宋_GB2312"/>
            </w:rPr>
            <w:t>规划目标</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_Toc30930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5024BF32">
          <w:pPr>
            <w:pStyle w:val="15"/>
            <w:keepNext w:val="0"/>
            <w:keepLines w:val="0"/>
            <w:pageBreakBefore w:val="0"/>
            <w:tabs>
              <w:tab w:val="right" w:leader="dot" w:pos="8845"/>
            </w:tabs>
            <w:kinsoku/>
            <w:wordWrap/>
            <w:overflowPunct/>
            <w:topLinePunct w:val="0"/>
            <w:autoSpaceDE/>
            <w:autoSpaceDN/>
            <w:bidi w:val="0"/>
            <w:snapToGrid/>
            <w:spacing w:line="600" w:lineRule="exact"/>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_Toc30391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rPr>
            <w:t>第二章  主要任务</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_Toc30391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768A929F">
          <w:pPr>
            <w:pStyle w:val="15"/>
            <w:keepNext w:val="0"/>
            <w:keepLines w:val="0"/>
            <w:pageBreakBefore w:val="0"/>
            <w:tabs>
              <w:tab w:val="right" w:leader="dot" w:pos="8845"/>
            </w:tabs>
            <w:kinsoku/>
            <w:wordWrap/>
            <w:overflowPunct/>
            <w:topLinePunct w:val="0"/>
            <w:autoSpaceDE/>
            <w:autoSpaceDN/>
            <w:bidi w:val="0"/>
            <w:snapToGrid/>
            <w:spacing w:line="600" w:lineRule="exact"/>
            <w:ind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_Toc5484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lang w:eastAsia="zh-CN"/>
            </w:rPr>
            <w:t>第一</w:t>
          </w:r>
          <w:r>
            <w:rPr>
              <w:rFonts w:hint="eastAsia" w:ascii="仿宋_GB2312" w:hAnsi="仿宋_GB2312" w:eastAsia="仿宋_GB2312" w:cs="仿宋_GB2312"/>
              <w:lang w:val="en-US" w:eastAsia="zh-CN"/>
            </w:rPr>
            <w:t xml:space="preserve">节 </w:t>
          </w:r>
          <w:r>
            <w:rPr>
              <w:rFonts w:hint="eastAsia" w:ascii="仿宋_GB2312" w:hAnsi="仿宋_GB2312" w:eastAsia="仿宋_GB2312" w:cs="仿宋_GB2312"/>
              <w:szCs w:val="30"/>
              <w:lang w:eastAsia="zh-CN"/>
            </w:rPr>
            <w:t>健全应急指挥体系，提升统筹处置能力</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_Toc5484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2318C66D">
          <w:pPr>
            <w:pStyle w:val="15"/>
            <w:keepNext w:val="0"/>
            <w:keepLines w:val="0"/>
            <w:pageBreakBefore w:val="0"/>
            <w:tabs>
              <w:tab w:val="right" w:leader="dot" w:pos="8845"/>
            </w:tabs>
            <w:kinsoku/>
            <w:wordWrap/>
            <w:overflowPunct/>
            <w:topLinePunct w:val="0"/>
            <w:autoSpaceDE/>
            <w:autoSpaceDN/>
            <w:bidi w:val="0"/>
            <w:snapToGrid/>
            <w:spacing w:line="600" w:lineRule="exact"/>
            <w:ind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_Toc8722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lang w:eastAsia="zh-CN"/>
            </w:rPr>
            <w:t>第二</w:t>
          </w:r>
          <w:r>
            <w:rPr>
              <w:rFonts w:hint="eastAsia" w:ascii="仿宋_GB2312" w:hAnsi="仿宋_GB2312" w:eastAsia="仿宋_GB2312" w:cs="仿宋_GB2312"/>
              <w:lang w:val="en-US" w:eastAsia="zh-CN"/>
            </w:rPr>
            <w:t>节</w:t>
          </w:r>
          <w:r>
            <w:rPr>
              <w:rFonts w:hint="eastAsia" w:ascii="仿宋_GB2312" w:hAnsi="仿宋_GB2312" w:eastAsia="仿宋_GB2312" w:cs="仿宋_GB2312"/>
              <w:szCs w:val="32"/>
              <w:highlight w:val="none"/>
              <w:lang w:val="en-US" w:eastAsia="zh-CN"/>
            </w:rPr>
            <w:t xml:space="preserve"> </w:t>
          </w:r>
          <w:r>
            <w:rPr>
              <w:rFonts w:hint="eastAsia" w:ascii="仿宋_GB2312" w:hAnsi="仿宋_GB2312" w:eastAsia="仿宋_GB2312" w:cs="仿宋_GB2312"/>
              <w:szCs w:val="32"/>
              <w:highlight w:val="none"/>
            </w:rPr>
            <w:t>健全安全治理体系，提升风险防控能力</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_Toc8722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4B0641E0">
          <w:pPr>
            <w:pStyle w:val="17"/>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0" w:leftChars="0"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val="en-US" w:eastAsia="zh-CN" w:bidi="ar-SA"/>
            </w:rPr>
            <w:t xml:space="preserve">第三节 </w:t>
          </w: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_Toc27650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szCs w:val="32"/>
              <w:highlight w:val="none"/>
            </w:rPr>
            <w:t>健全灾害防治体系，提升防灾救灾能力</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_Toc27650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12382FF4">
          <w:pPr>
            <w:pStyle w:val="17"/>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0" w:leftChars="0"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_Toc32765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szCs w:val="32"/>
              <w:highlight w:val="none"/>
              <w:lang w:val="en-US" w:eastAsia="zh-CN"/>
            </w:rPr>
            <w:t xml:space="preserve">第四节 </w:t>
          </w:r>
          <w:r>
            <w:rPr>
              <w:rFonts w:hint="eastAsia" w:ascii="仿宋_GB2312" w:hAnsi="仿宋_GB2312" w:eastAsia="仿宋_GB2312" w:cs="仿宋_GB2312"/>
              <w:szCs w:val="32"/>
              <w:highlight w:val="none"/>
            </w:rPr>
            <w:t>健全应急救援体系，提升应急处置能力</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_Toc32765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49F64202">
          <w:pPr>
            <w:pStyle w:val="17"/>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0" w:leftChars="0"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_Toc27224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szCs w:val="32"/>
              <w:highlight w:val="none"/>
              <w:lang w:val="en-US" w:eastAsia="zh-CN"/>
            </w:rPr>
            <w:t xml:space="preserve">第五节 </w:t>
          </w:r>
          <w:r>
            <w:rPr>
              <w:rFonts w:hint="eastAsia" w:ascii="仿宋_GB2312" w:hAnsi="仿宋_GB2312" w:eastAsia="仿宋_GB2312" w:cs="仿宋_GB2312"/>
              <w:szCs w:val="32"/>
            </w:rPr>
            <w:t>完善基层基础体系，打通“最后一公里”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_Toc27224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14</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05477868">
          <w:pPr>
            <w:pStyle w:val="17"/>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0" w:leftChars="0" w:firstLine="320" w:firstLineChars="100"/>
            <w:textAlignment w:val="auto"/>
            <w:rPr>
              <w:rFonts w:hint="eastAsia" w:ascii="仿宋_GB2312" w:hAnsi="仿宋_GB2312" w:eastAsia="仿宋_GB2312" w:cs="仿宋_GB2312"/>
            </w:rPr>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_Toc1357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szCs w:val="32"/>
              <w:highlight w:val="none"/>
              <w:lang w:val="en-US" w:eastAsia="zh-CN"/>
            </w:rPr>
            <w:t xml:space="preserve">第六节 </w:t>
          </w:r>
          <w:r>
            <w:rPr>
              <w:rFonts w:hint="eastAsia" w:ascii="仿宋_GB2312" w:hAnsi="仿宋_GB2312" w:eastAsia="仿宋_GB2312" w:cs="仿宋_GB2312"/>
              <w:szCs w:val="32"/>
              <w:highlight w:val="none"/>
            </w:rPr>
            <w:t>健全多元共治体系，提升社会动员能力</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_Toc1357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15</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281C7944">
          <w:pPr>
            <w:pStyle w:val="15"/>
            <w:keepNext w:val="0"/>
            <w:keepLines w:val="0"/>
            <w:pageBreakBefore w:val="0"/>
            <w:tabs>
              <w:tab w:val="right" w:leader="dot" w:pos="8845"/>
            </w:tabs>
            <w:kinsoku/>
            <w:wordWrap/>
            <w:overflowPunct/>
            <w:topLinePunct w:val="0"/>
            <w:autoSpaceDE/>
            <w:autoSpaceDN/>
            <w:bidi w:val="0"/>
            <w:snapToGrid/>
            <w:spacing w:line="600" w:lineRule="exact"/>
            <w:textAlignment w:val="auto"/>
          </w:pPr>
          <w:r>
            <w:rPr>
              <w:rFonts w:hint="eastAsia" w:ascii="仿宋_GB2312" w:hAnsi="仿宋_GB2312" w:eastAsia="仿宋_GB2312" w:cs="仿宋_GB2312"/>
              <w:kern w:val="2"/>
              <w:szCs w:val="32"/>
              <w:lang w:bidi="ar-SA"/>
            </w:rPr>
            <w:fldChar w:fldCharType="begin"/>
          </w:r>
          <w:r>
            <w:rPr>
              <w:rFonts w:hint="eastAsia" w:ascii="仿宋_GB2312" w:hAnsi="仿宋_GB2312" w:eastAsia="仿宋_GB2312" w:cs="仿宋_GB2312"/>
              <w:kern w:val="2"/>
              <w:szCs w:val="32"/>
              <w:lang w:bidi="ar-SA"/>
            </w:rPr>
            <w:instrText xml:space="preserve"> HYPERLINK \l _Toc32658 </w:instrText>
          </w:r>
          <w:r>
            <w:rPr>
              <w:rFonts w:hint="eastAsia" w:ascii="仿宋_GB2312" w:hAnsi="仿宋_GB2312" w:eastAsia="仿宋_GB2312" w:cs="仿宋_GB2312"/>
              <w:kern w:val="2"/>
              <w:szCs w:val="32"/>
              <w:lang w:bidi="ar-SA"/>
            </w:rPr>
            <w:fldChar w:fldCharType="separate"/>
          </w:r>
          <w:r>
            <w:rPr>
              <w:rFonts w:hint="eastAsia" w:ascii="仿宋_GB2312" w:hAnsi="仿宋_GB2312" w:eastAsia="仿宋_GB2312" w:cs="仿宋_GB2312"/>
              <w:szCs w:val="32"/>
              <w:lang w:val="en-US" w:eastAsia="zh-CN"/>
            </w:rPr>
            <w:t xml:space="preserve">第三章 </w:t>
          </w:r>
          <w:r>
            <w:rPr>
              <w:rFonts w:hint="eastAsia" w:ascii="仿宋_GB2312" w:hAnsi="仿宋_GB2312" w:eastAsia="仿宋_GB2312" w:cs="仿宋_GB2312"/>
              <w:szCs w:val="32"/>
            </w:rPr>
            <w:t>保障措施</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_Toc32658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17</w:t>
          </w:r>
          <w:r>
            <w:rPr>
              <w:rFonts w:hint="eastAsia" w:ascii="仿宋_GB2312" w:hAnsi="仿宋_GB2312" w:eastAsia="仿宋_GB2312" w:cs="仿宋_GB2312"/>
            </w:rPr>
            <w:fldChar w:fldCharType="end"/>
          </w:r>
          <w:r>
            <w:rPr>
              <w:rFonts w:hint="eastAsia" w:ascii="仿宋_GB2312" w:hAnsi="仿宋_GB2312" w:eastAsia="仿宋_GB2312" w:cs="仿宋_GB2312"/>
              <w:kern w:val="2"/>
              <w:szCs w:val="32"/>
              <w:lang w:bidi="ar-SA"/>
            </w:rPr>
            <w:fldChar w:fldCharType="end"/>
          </w:r>
        </w:p>
        <w:p w14:paraId="47C47968">
          <w:pPr>
            <w:pStyle w:val="11"/>
            <w:keepNext w:val="0"/>
            <w:keepLines w:val="0"/>
            <w:pageBreakBefore w:val="0"/>
            <w:widowControl/>
            <w:kinsoku/>
            <w:wordWrap/>
            <w:overflowPunct/>
            <w:topLinePunct w:val="0"/>
            <w:autoSpaceDE/>
            <w:autoSpaceDN/>
            <w:bidi w:val="0"/>
            <w:snapToGrid/>
            <w:spacing w:line="600" w:lineRule="exact"/>
            <w:textAlignment w:val="auto"/>
            <w:rPr>
              <w:rFonts w:hint="eastAsia" w:ascii="方正仿宋_GBK" w:hAnsi="方正仿宋_GBK" w:eastAsia="方正仿宋_GBK" w:cs="方正仿宋_GBK"/>
              <w:kern w:val="2"/>
              <w:sz w:val="30"/>
              <w:szCs w:val="32"/>
              <w:lang w:bidi="ar-SA"/>
            </w:rPr>
          </w:pPr>
          <w:r>
            <w:rPr>
              <w:rFonts w:hint="eastAsia" w:ascii="方正仿宋_GBK" w:hAnsi="方正仿宋_GBK" w:eastAsia="方正仿宋_GBK" w:cs="方正仿宋_GBK"/>
              <w:kern w:val="2"/>
              <w:szCs w:val="32"/>
              <w:lang w:bidi="ar-SA"/>
            </w:rPr>
            <w:fldChar w:fldCharType="end"/>
          </w:r>
        </w:p>
      </w:sdtContent>
    </w:sdt>
    <w:p w14:paraId="11EDCA8A">
      <w:pPr>
        <w:pStyle w:val="11"/>
        <w:widowControl/>
        <w:rPr>
          <w:rFonts w:hint="eastAsia" w:ascii="方正仿宋_GBK" w:hAnsi="方正仿宋_GBK" w:eastAsia="方正仿宋_GBK" w:cs="方正仿宋_GBK"/>
          <w:kern w:val="2"/>
          <w:sz w:val="30"/>
          <w:szCs w:val="32"/>
          <w:lang w:bidi="ar-SA"/>
        </w:rPr>
      </w:pPr>
    </w:p>
    <w:p w14:paraId="58477159">
      <w:pPr>
        <w:pStyle w:val="11"/>
        <w:widowControl/>
        <w:rPr>
          <w:rFonts w:hint="eastAsia" w:ascii="方正仿宋_GBK" w:hAnsi="方正仿宋_GBK" w:eastAsia="方正仿宋_GBK" w:cs="方正仿宋_GBK"/>
          <w:kern w:val="2"/>
          <w:sz w:val="32"/>
          <w:szCs w:val="32"/>
          <w:lang w:bidi="ar-SA"/>
        </w:rPr>
      </w:pPr>
    </w:p>
    <w:p w14:paraId="046D718D">
      <w:pPr>
        <w:pStyle w:val="11"/>
        <w:widowControl/>
        <w:rPr>
          <w:rFonts w:hint="eastAsia" w:ascii="方正仿宋_GBK" w:hAnsi="方正仿宋_GBK" w:eastAsia="方正仿宋_GBK" w:cs="方正仿宋_GBK"/>
          <w:kern w:val="2"/>
          <w:sz w:val="32"/>
          <w:szCs w:val="32"/>
          <w:lang w:bidi="ar-SA"/>
        </w:rPr>
      </w:pPr>
    </w:p>
    <w:p w14:paraId="7C3C12D1">
      <w:pPr>
        <w:pStyle w:val="11"/>
        <w:widowControl/>
        <w:rPr>
          <w:rFonts w:hint="eastAsia" w:ascii="方正仿宋_GBK" w:hAnsi="方正仿宋_GBK" w:eastAsia="方正仿宋_GBK" w:cs="方正仿宋_GBK"/>
          <w:kern w:val="2"/>
          <w:sz w:val="32"/>
          <w:szCs w:val="32"/>
          <w:lang w:bidi="ar-SA"/>
        </w:rPr>
      </w:pPr>
    </w:p>
    <w:p w14:paraId="4D1E072D">
      <w:pPr>
        <w:pStyle w:val="11"/>
        <w:widowControl/>
        <w:rPr>
          <w:rFonts w:hint="eastAsia" w:ascii="方正仿宋_GBK" w:hAnsi="方正仿宋_GBK" w:eastAsia="方正仿宋_GBK" w:cs="方正仿宋_GBK"/>
          <w:kern w:val="2"/>
          <w:sz w:val="32"/>
          <w:szCs w:val="32"/>
          <w:lang w:bidi="ar-SA"/>
        </w:rPr>
      </w:pPr>
    </w:p>
    <w:p w14:paraId="072BC57F">
      <w:pPr>
        <w:pStyle w:val="11"/>
        <w:widowControl/>
        <w:rPr>
          <w:rFonts w:hint="eastAsia" w:ascii="方正仿宋_GBK" w:hAnsi="方正仿宋_GBK" w:eastAsia="方正仿宋_GBK" w:cs="方正仿宋_GBK"/>
          <w:kern w:val="2"/>
          <w:sz w:val="32"/>
          <w:szCs w:val="32"/>
          <w:lang w:bidi="ar-SA"/>
        </w:rPr>
      </w:pPr>
    </w:p>
    <w:p w14:paraId="6C0117EC">
      <w:pPr>
        <w:pStyle w:val="11"/>
        <w:widowControl/>
        <w:rPr>
          <w:rFonts w:hint="eastAsia" w:ascii="方正仿宋_GBK" w:hAnsi="方正仿宋_GBK" w:eastAsia="方正仿宋_GBK" w:cs="方正仿宋_GBK"/>
          <w:kern w:val="2"/>
          <w:sz w:val="32"/>
          <w:szCs w:val="32"/>
          <w:lang w:bidi="ar-SA"/>
        </w:rPr>
      </w:pPr>
    </w:p>
    <w:p w14:paraId="1934699E">
      <w:pPr>
        <w:pStyle w:val="11"/>
        <w:widowControl/>
        <w:rPr>
          <w:rFonts w:hint="eastAsia" w:ascii="方正仿宋_GBK" w:hAnsi="方正仿宋_GBK" w:eastAsia="方正仿宋_GBK" w:cs="方正仿宋_GBK"/>
          <w:kern w:val="2"/>
          <w:sz w:val="32"/>
          <w:szCs w:val="32"/>
          <w:lang w:bidi="ar-SA"/>
        </w:rPr>
      </w:pPr>
    </w:p>
    <w:p w14:paraId="24313FCA">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为统筹做好安全生产与防灾减灾救灾工作，全面提升应急管理能力，根据《</w:t>
      </w:r>
      <w:bookmarkStart w:id="0" w:name="OLE_LINK1"/>
      <w:r>
        <w:rPr>
          <w:rFonts w:hint="eastAsia" w:ascii="仿宋_GB2312" w:hAnsi="仿宋_GB2312" w:eastAsia="仿宋_GB2312" w:cs="仿宋_GB2312"/>
          <w:sz w:val="32"/>
          <w:szCs w:val="32"/>
        </w:rPr>
        <w:t>台山市国民经济和社会发展第十五个五年规划</w:t>
      </w:r>
      <w:bookmarkEnd w:id="0"/>
      <w:r>
        <w:rPr>
          <w:rFonts w:hint="eastAsia" w:ascii="仿宋_GB2312" w:hAnsi="仿宋_GB2312" w:eastAsia="仿宋_GB2312" w:cs="仿宋_GB2312"/>
          <w:sz w:val="32"/>
          <w:szCs w:val="32"/>
          <w:lang w:val="en-US" w:eastAsia="zh-CN"/>
        </w:rPr>
        <w:t>纲要</w:t>
      </w:r>
      <w:r>
        <w:rPr>
          <w:rFonts w:hint="eastAsia" w:ascii="仿宋_GB2312" w:hAnsi="仿宋_GB2312" w:eastAsia="仿宋_GB2312" w:cs="仿宋_GB2312"/>
          <w:color w:val="000000"/>
          <w:sz w:val="32"/>
          <w:szCs w:val="32"/>
        </w:rPr>
        <w:t>》，制定本规划。</w:t>
      </w:r>
    </w:p>
    <w:p w14:paraId="2FD85B1E">
      <w:pPr>
        <w:pStyle w:val="25"/>
        <w:widowControl/>
      </w:pPr>
      <w:bookmarkStart w:id="1" w:name="_Toc17085"/>
      <w:bookmarkStart w:id="2" w:name="_Toc30115"/>
      <w:bookmarkStart w:id="3" w:name="_Toc22867"/>
      <w:bookmarkStart w:id="4" w:name="_Toc3638"/>
      <w:bookmarkStart w:id="5" w:name="_Toc24605"/>
      <w:bookmarkStart w:id="6" w:name="_Toc5705"/>
      <w:bookmarkStart w:id="7" w:name="_Toc2959"/>
      <w:bookmarkStart w:id="8" w:name="_Toc19677"/>
      <w:bookmarkStart w:id="9" w:name="_Toc4297"/>
      <w:bookmarkStart w:id="10" w:name="_Toc14452"/>
      <w:bookmarkStart w:id="11" w:name="_Toc66697162"/>
      <w:bookmarkStart w:id="12" w:name="_Toc50632662"/>
      <w:bookmarkStart w:id="13" w:name="_Hlk11777399"/>
      <w:r>
        <w:t>第一章  总体要求</w:t>
      </w:r>
      <w:bookmarkEnd w:id="1"/>
      <w:bookmarkEnd w:id="2"/>
      <w:bookmarkEnd w:id="3"/>
    </w:p>
    <w:p w14:paraId="53CD819E">
      <w:pPr>
        <w:pStyle w:val="25"/>
        <w:widowControl/>
        <w:numPr>
          <w:ilvl w:val="0"/>
          <w:numId w:val="0"/>
        </w:numPr>
        <w:ind w:leftChars="0"/>
        <w:rPr>
          <w:b w:val="0"/>
        </w:rPr>
      </w:pPr>
      <w:bookmarkStart w:id="14" w:name="_Toc5824"/>
      <w:bookmarkStart w:id="15" w:name="_Toc15758"/>
      <w:bookmarkStart w:id="16" w:name="_Toc31055"/>
      <w:r>
        <w:rPr>
          <w:rFonts w:hint="eastAsia"/>
          <w:lang w:eastAsia="zh-CN"/>
        </w:rPr>
        <w:t>第一</w:t>
      </w:r>
      <w:r>
        <w:rPr>
          <w:rFonts w:hint="eastAsia"/>
          <w:lang w:val="en-US" w:eastAsia="zh-CN"/>
        </w:rPr>
        <w:t>节</w:t>
      </w:r>
      <w:r>
        <w:rPr>
          <w:rFonts w:hint="eastAsia" w:ascii="仿宋" w:hAnsi="仿宋" w:eastAsia="仿宋" w:cs="仿宋"/>
          <w:bCs/>
          <w:spacing w:val="-6"/>
          <w:kern w:val="44"/>
          <w:sz w:val="32"/>
          <w:szCs w:val="32"/>
          <w:lang w:eastAsia="zh-CN" w:bidi="ar-SA"/>
        </w:rPr>
        <w:t xml:space="preserve"> </w:t>
      </w:r>
      <w:r>
        <w:t>指导思想</w:t>
      </w:r>
      <w:bookmarkEnd w:id="14"/>
      <w:bookmarkEnd w:id="15"/>
      <w:bookmarkEnd w:id="16"/>
    </w:p>
    <w:p w14:paraId="41B68C9A">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坚持以习近平新时代中国特色社会主义思想为指导，全面贯彻党的二十大和二十届历次全会精神，深入贯彻习近平总书记对广东系列重要讲话和重要指示精神，深入学习贯彻习近平总书记关于应急管理的重要论述，以高水平安全保障高质量发展为主题，以推动应急管理治理模式向事前预防转型为主攻方向，以改革创新为动力，以全面从严治党为保障，以坚决防范遏制重特大事故和灾害防御“不死人、少损失”为目标，以保护人民群众生命财产安全和社会大局平安稳定为根本目的，为</w:t>
      </w:r>
      <w:r>
        <w:rPr>
          <w:rFonts w:hint="eastAsia" w:ascii="仿宋_GB2312" w:hAnsi="仿宋_GB2312" w:eastAsia="仿宋_GB2312" w:cs="仿宋_GB2312"/>
          <w:color w:val="000000"/>
          <w:sz w:val="32"/>
          <w:szCs w:val="32"/>
          <w:lang w:val="en-US" w:eastAsia="zh-CN"/>
        </w:rPr>
        <w:t>台山</w:t>
      </w:r>
      <w:r>
        <w:rPr>
          <w:rFonts w:hint="eastAsia" w:ascii="仿宋_GB2312" w:hAnsi="仿宋_GB2312" w:eastAsia="仿宋_GB2312" w:cs="仿宋_GB2312"/>
          <w:color w:val="000000"/>
          <w:sz w:val="32"/>
          <w:szCs w:val="32"/>
        </w:rPr>
        <w:t>高质量发展营造更加安全稳定的社会环境，作出应急管理新贡献。</w:t>
      </w:r>
    </w:p>
    <w:bookmarkEnd w:id="4"/>
    <w:bookmarkEnd w:id="5"/>
    <w:bookmarkEnd w:id="6"/>
    <w:bookmarkEnd w:id="7"/>
    <w:bookmarkEnd w:id="8"/>
    <w:bookmarkEnd w:id="9"/>
    <w:p w14:paraId="36E25990">
      <w:pPr>
        <w:pStyle w:val="25"/>
        <w:widowControl/>
        <w:numPr>
          <w:ilvl w:val="0"/>
          <w:numId w:val="0"/>
        </w:numPr>
        <w:ind w:leftChars="0"/>
        <w:rPr>
          <w:b w:val="0"/>
        </w:rPr>
      </w:pPr>
      <w:bookmarkStart w:id="17" w:name="_Toc20556"/>
      <w:bookmarkStart w:id="18" w:name="_Toc1075"/>
      <w:bookmarkStart w:id="19" w:name="_Toc30930"/>
      <w:bookmarkStart w:id="20" w:name="_Toc20327"/>
      <w:bookmarkStart w:id="21" w:name="_Toc9637"/>
      <w:bookmarkStart w:id="22" w:name="_Toc2367"/>
      <w:bookmarkStart w:id="23" w:name="_Toc22381"/>
      <w:bookmarkStart w:id="24" w:name="_Toc4213"/>
      <w:bookmarkStart w:id="25" w:name="_Toc14526"/>
      <w:bookmarkStart w:id="26" w:name="_Toc22579"/>
      <w:bookmarkStart w:id="27" w:name="_Toc16346"/>
      <w:r>
        <w:rPr>
          <w:rFonts w:hint="eastAsia"/>
          <w:lang w:eastAsia="zh-CN"/>
        </w:rPr>
        <w:t>第二</w:t>
      </w:r>
      <w:r>
        <w:rPr>
          <w:rFonts w:hint="eastAsia"/>
          <w:lang w:val="en-US" w:eastAsia="zh-CN"/>
        </w:rPr>
        <w:t>节</w:t>
      </w:r>
      <w:r>
        <w:rPr>
          <w:rFonts w:hint="eastAsia" w:ascii="仿宋" w:hAnsi="仿宋" w:eastAsia="仿宋" w:cs="仿宋"/>
          <w:bCs/>
          <w:spacing w:val="-6"/>
          <w:kern w:val="44"/>
          <w:sz w:val="32"/>
          <w:szCs w:val="32"/>
          <w:lang w:eastAsia="zh-CN" w:bidi="ar-SA"/>
        </w:rPr>
        <w:t xml:space="preserve"> </w:t>
      </w:r>
      <w:r>
        <w:t>规划目标</w:t>
      </w:r>
      <w:bookmarkEnd w:id="17"/>
      <w:bookmarkEnd w:id="18"/>
      <w:bookmarkEnd w:id="19"/>
    </w:p>
    <w:bookmarkEnd w:id="20"/>
    <w:bookmarkEnd w:id="21"/>
    <w:bookmarkEnd w:id="22"/>
    <w:bookmarkEnd w:id="23"/>
    <w:bookmarkEnd w:id="24"/>
    <w:bookmarkEnd w:id="25"/>
    <w:bookmarkEnd w:id="26"/>
    <w:bookmarkEnd w:id="27"/>
    <w:p w14:paraId="5887686E">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到2030年，台山市将全面建成与沿海经济带重要增长极发展能级相匹配的现代化应急管理体系，形成高质量发展与高水平安全深度融合的新模式，全面提升依法、科学、智慧应急水平，稳固共建共治共享应急治理新格局；重点行业领域本质安全水平显著提升，重大应急风险防范化解能力大幅增强，企业安全生产主体责任全面落实，为经济社会长远发展筑牢安全根基。届时，台山市应急管理体制机制更趋健全，跨部门跨区域协同联动效能提升；重点行业领域安全生产整治成效突出，安全事故得到有效遏制；沿海灾害监测预警与防御能力显著增强，灾害损失得到有效控制；综合应急救援、应急综合保障水平全面提升，科技赋能支撑更加有力，社会公众应急意识和自救互救能力明显提高，市场化应急服务体系基本建立，社会应急力量有序发展。</w:t>
      </w:r>
    </w:p>
    <w:tbl>
      <w:tblPr>
        <w:tblStyle w:val="19"/>
        <w:tblW w:w="43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49"/>
        <w:gridCol w:w="3624"/>
        <w:gridCol w:w="1368"/>
        <w:gridCol w:w="1208"/>
        <w:gridCol w:w="1051"/>
      </w:tblGrid>
      <w:tr w14:paraId="4A93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45" w:hRule="atLeast"/>
          <w:jc w:val="center"/>
        </w:trPr>
        <w:tc>
          <w:tcPr>
            <w:tcW w:w="7901" w:type="dxa"/>
            <w:gridSpan w:val="5"/>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34FA0BA5">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Cs/>
                <w:caps w:val="0"/>
                <w:color w:val="000000"/>
                <w:kern w:val="0"/>
                <w:sz w:val="28"/>
                <w:szCs w:val="28"/>
                <w:highlight w:val="none"/>
                <w:u w:val="none"/>
                <w:lang w:val="en-US" w:eastAsia="zh-CN" w:bidi="ar"/>
              </w:rPr>
            </w:pPr>
            <w:r>
              <w:rPr>
                <w:rFonts w:hint="default" w:ascii="Times New Roman" w:hAnsi="Times New Roman" w:eastAsia="黑体" w:cs="Times New Roman"/>
                <w:bCs/>
                <w:caps w:val="0"/>
                <w:color w:val="auto"/>
                <w:kern w:val="0"/>
                <w:sz w:val="28"/>
                <w:szCs w:val="28"/>
                <w:highlight w:val="none"/>
                <w:lang w:val="en-US" w:eastAsia="zh-CN" w:bidi="ar"/>
              </w:rPr>
              <w:t>专栏</w:t>
            </w:r>
            <w:r>
              <w:rPr>
                <w:rFonts w:hint="default" w:ascii="Times New Roman" w:hAnsi="Times New Roman" w:eastAsia="黑体" w:cs="Times New Roman"/>
                <w:bCs/>
                <w:caps w:val="0"/>
                <w:color w:val="auto"/>
                <w:kern w:val="0"/>
                <w:sz w:val="28"/>
                <w:szCs w:val="28"/>
                <w:highlight w:val="none"/>
                <w:lang w:val="en-US" w:eastAsia="zh" w:bidi="ar"/>
              </w:rPr>
              <w:t>1</w:t>
            </w:r>
            <w:r>
              <w:rPr>
                <w:rFonts w:hint="eastAsia" w:ascii="Times New Roman" w:hAnsi="Times New Roman" w:eastAsia="黑体" w:cs="Times New Roman"/>
                <w:bCs/>
                <w:caps w:val="0"/>
                <w:color w:val="auto"/>
                <w:kern w:val="0"/>
                <w:sz w:val="28"/>
                <w:szCs w:val="28"/>
                <w:highlight w:val="none"/>
                <w:lang w:val="en-US" w:eastAsia="zh-CN" w:bidi="ar"/>
              </w:rPr>
              <w:t xml:space="preserve"> </w:t>
            </w:r>
            <w:r>
              <w:rPr>
                <w:rFonts w:hint="eastAsia" w:eastAsia="黑体" w:cs="Times New Roman"/>
                <w:bCs/>
                <w:caps w:val="0"/>
                <w:color w:val="auto"/>
                <w:kern w:val="0"/>
                <w:sz w:val="28"/>
                <w:szCs w:val="28"/>
                <w:highlight w:val="none"/>
                <w:lang w:val="en-US" w:eastAsia="zh-CN" w:bidi="ar"/>
              </w:rPr>
              <w:t>台山市</w:t>
            </w:r>
            <w:r>
              <w:rPr>
                <w:rFonts w:hint="default" w:ascii="Times New Roman" w:hAnsi="Times New Roman" w:eastAsia="黑体" w:cs="Times New Roman"/>
                <w:bCs/>
                <w:caps w:val="0"/>
                <w:color w:val="auto"/>
                <w:kern w:val="0"/>
                <w:sz w:val="28"/>
                <w:szCs w:val="28"/>
                <w:highlight w:val="none"/>
                <w:lang w:val="en-US" w:eastAsia="zh-CN" w:bidi="ar"/>
              </w:rPr>
              <w:t>应急管理</w:t>
            </w:r>
            <w:r>
              <w:rPr>
                <w:rFonts w:hint="eastAsia" w:ascii="Times New Roman" w:hAnsi="Times New Roman" w:eastAsia="黑体" w:cs="Times New Roman"/>
                <w:bCs/>
                <w:caps w:val="0"/>
                <w:color w:val="auto"/>
                <w:kern w:val="0"/>
                <w:sz w:val="28"/>
                <w:szCs w:val="28"/>
                <w:highlight w:val="none"/>
                <w:lang w:val="en-US" w:eastAsia="zh" w:bidi="ar"/>
              </w:rPr>
              <w:t>“</w:t>
            </w:r>
            <w:r>
              <w:rPr>
                <w:rFonts w:hint="default" w:ascii="Times New Roman" w:hAnsi="Times New Roman" w:eastAsia="黑体" w:cs="Times New Roman"/>
                <w:bCs/>
                <w:caps w:val="0"/>
                <w:color w:val="auto"/>
                <w:kern w:val="0"/>
                <w:sz w:val="28"/>
                <w:szCs w:val="28"/>
                <w:highlight w:val="none"/>
                <w:lang w:val="en-US" w:eastAsia="zh-CN" w:bidi="ar"/>
              </w:rPr>
              <w:t>十</w:t>
            </w:r>
            <w:r>
              <w:rPr>
                <w:rFonts w:hint="default" w:ascii="Times New Roman" w:hAnsi="Times New Roman" w:eastAsia="黑体" w:cs="Times New Roman"/>
                <w:bCs/>
                <w:caps w:val="0"/>
                <w:color w:val="auto"/>
                <w:kern w:val="0"/>
                <w:sz w:val="28"/>
                <w:szCs w:val="28"/>
                <w:highlight w:val="none"/>
                <w:lang w:val="en-US" w:eastAsia="zh" w:bidi="ar"/>
              </w:rPr>
              <w:t>五</w:t>
            </w:r>
            <w:r>
              <w:rPr>
                <w:rFonts w:hint="default" w:ascii="Times New Roman" w:hAnsi="Times New Roman" w:eastAsia="黑体" w:cs="Times New Roman"/>
                <w:bCs/>
                <w:caps w:val="0"/>
                <w:color w:val="auto"/>
                <w:kern w:val="0"/>
                <w:sz w:val="28"/>
                <w:szCs w:val="28"/>
                <w:highlight w:val="none"/>
                <w:lang w:val="en-US" w:eastAsia="zh-CN" w:bidi="ar"/>
              </w:rPr>
              <w:t>五</w:t>
            </w:r>
            <w:r>
              <w:rPr>
                <w:rFonts w:hint="eastAsia" w:ascii="Times New Roman" w:hAnsi="Times New Roman" w:eastAsia="黑体" w:cs="Times New Roman"/>
                <w:bCs/>
                <w:caps w:val="0"/>
                <w:color w:val="auto"/>
                <w:kern w:val="0"/>
                <w:sz w:val="28"/>
                <w:szCs w:val="28"/>
                <w:highlight w:val="none"/>
                <w:lang w:val="en-US" w:eastAsia="zh" w:bidi="ar"/>
              </w:rPr>
              <w:t>”</w:t>
            </w:r>
            <w:r>
              <w:rPr>
                <w:rFonts w:hint="default" w:ascii="Times New Roman" w:hAnsi="Times New Roman" w:eastAsia="黑体" w:cs="Times New Roman"/>
                <w:bCs/>
                <w:caps w:val="0"/>
                <w:color w:val="auto"/>
                <w:kern w:val="0"/>
                <w:sz w:val="28"/>
                <w:szCs w:val="28"/>
                <w:highlight w:val="none"/>
                <w:lang w:val="en-US" w:eastAsia="zh-CN" w:bidi="ar"/>
              </w:rPr>
              <w:t>规划指标</w:t>
            </w:r>
            <w:r>
              <w:rPr>
                <w:rFonts w:hint="default" w:ascii="Times New Roman" w:hAnsi="Times New Roman" w:eastAsia="黑体" w:cs="Times New Roman"/>
                <w:bCs/>
                <w:caps w:val="0"/>
                <w:color w:val="auto"/>
                <w:kern w:val="0"/>
                <w:sz w:val="28"/>
                <w:szCs w:val="28"/>
                <w:highlight w:val="none"/>
                <w:lang w:val="en-US" w:eastAsia="zh" w:bidi="ar"/>
              </w:rPr>
              <w:t>表</w:t>
            </w:r>
          </w:p>
        </w:tc>
      </w:tr>
      <w:tr w14:paraId="3603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219ADA19">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aps w:val="0"/>
                <w:color w:val="000000"/>
                <w:kern w:val="0"/>
                <w:sz w:val="28"/>
                <w:szCs w:val="28"/>
                <w:highlight w:val="none"/>
                <w:u w:val="none"/>
              </w:rPr>
            </w:pPr>
            <w:r>
              <w:rPr>
                <w:rFonts w:hint="default" w:ascii="Times New Roman" w:hAnsi="Times New Roman" w:eastAsia="仿宋_GB2312" w:cs="Times New Roman"/>
                <w:b/>
                <w:bCs/>
                <w:caps w:val="0"/>
                <w:snapToGrid/>
                <w:color w:val="auto"/>
                <w:kern w:val="0"/>
                <w:sz w:val="21"/>
                <w:szCs w:val="21"/>
                <w:highlight w:val="none"/>
                <w:lang w:val="en-US" w:eastAsia="zh-CN" w:bidi="ar"/>
              </w:rPr>
              <w:t>序号</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086A398">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0"/>
                <w:sz w:val="28"/>
                <w:szCs w:val="28"/>
                <w:highlight w:val="none"/>
                <w:u w:val="none"/>
              </w:rPr>
            </w:pPr>
            <w:r>
              <w:rPr>
                <w:rFonts w:hint="default" w:ascii="Times New Roman" w:hAnsi="Times New Roman" w:eastAsia="仿宋_GB2312" w:cs="Times New Roman"/>
                <w:b/>
                <w:bCs/>
                <w:caps w:val="0"/>
                <w:snapToGrid/>
                <w:color w:val="auto"/>
                <w:kern w:val="0"/>
                <w:sz w:val="21"/>
                <w:szCs w:val="21"/>
                <w:highlight w:val="none"/>
                <w:lang w:val="en-US" w:eastAsia="zh-CN" w:bidi="ar"/>
              </w:rPr>
              <w:t>指标名称</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F6EC989">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default" w:cs="Times New Roman"/>
                <w:b/>
                <w:bCs/>
                <w:caps w:val="0"/>
                <w:snapToGrid/>
                <w:color w:val="auto"/>
                <w:kern w:val="0"/>
                <w:sz w:val="21"/>
                <w:szCs w:val="21"/>
                <w:highlight w:val="none"/>
                <w:lang w:val="en-US" w:eastAsia="zh-CN" w:bidi="ar"/>
              </w:rPr>
              <w:t>2025年基期值</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0497CE1B">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0"/>
                <w:sz w:val="28"/>
                <w:szCs w:val="28"/>
                <w:highlight w:val="none"/>
                <w:u w:val="none"/>
                <w:lang w:val="en-US" w:eastAsia="zh-CN"/>
              </w:rPr>
            </w:pPr>
            <w:r>
              <w:rPr>
                <w:rFonts w:hint="default" w:cs="Times New Roman"/>
                <w:b/>
                <w:bCs/>
                <w:caps w:val="0"/>
                <w:snapToGrid/>
                <w:color w:val="auto"/>
                <w:kern w:val="0"/>
                <w:sz w:val="21"/>
                <w:szCs w:val="21"/>
                <w:highlight w:val="none"/>
                <w:lang w:val="en-US" w:eastAsia="zh-CN" w:bidi="ar"/>
              </w:rPr>
              <w:t>2030年目标值</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150B3B66">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default" w:cs="Times New Roman"/>
                <w:b/>
                <w:bCs/>
                <w:caps w:val="0"/>
                <w:snapToGrid/>
                <w:color w:val="auto"/>
                <w:kern w:val="0"/>
                <w:sz w:val="21"/>
                <w:szCs w:val="21"/>
                <w:highlight w:val="none"/>
                <w:lang w:val="en-US" w:eastAsia="zh" w:bidi="ar"/>
              </w:rPr>
              <w:t>属性</w:t>
            </w:r>
          </w:p>
        </w:tc>
      </w:tr>
      <w:tr w14:paraId="0DC8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4C38DF06">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ascii="Times New Roman" w:hAnsi="Times New Roman" w:eastAsia="仿宋_GB2312" w:cs="Times New Roman"/>
                <w:caps w:val="0"/>
                <w:color w:val="auto"/>
                <w:kern w:val="2"/>
                <w:sz w:val="21"/>
                <w:szCs w:val="21"/>
                <w:highlight w:val="none"/>
                <w:shd w:val="clear" w:fill="auto"/>
                <w:lang w:val="en-US" w:eastAsia="zh" w:bidi="ar-SA"/>
              </w:rPr>
              <w:t>1</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3B571A7F">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生产安全事故死亡人数</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78213826">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snapToGrid/>
                <w:color w:val="auto"/>
                <w:kern w:val="2"/>
                <w:sz w:val="21"/>
                <w:szCs w:val="21"/>
                <w:highlight w:val="none"/>
                <w:shd w:val="clear" w:fill="auto"/>
                <w:lang w:val="en-US" w:eastAsia="zh" w:bidi="ar"/>
              </w:rPr>
              <w:t>1766</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F93AAED">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cs="Times New Roman"/>
                <w:caps w:val="0"/>
                <w:color w:val="auto"/>
                <w:kern w:val="2"/>
                <w:sz w:val="21"/>
                <w:szCs w:val="21"/>
                <w:highlight w:val="none"/>
                <w:shd w:val="clear" w:fill="auto"/>
                <w:lang w:val="en-US" w:eastAsia="zh-CN"/>
              </w:rPr>
              <w:t>下降</w:t>
            </w:r>
            <w:r>
              <w:rPr>
                <w:rFonts w:hint="eastAsia" w:cs="Times New Roman"/>
                <w:caps w:val="0"/>
                <w:color w:val="auto"/>
                <w:kern w:val="2"/>
                <w:sz w:val="21"/>
                <w:szCs w:val="21"/>
                <w:highlight w:val="none"/>
                <w:shd w:val="clear" w:fill="auto"/>
                <w:lang w:val="en-US" w:eastAsia="zh-CN"/>
              </w:rPr>
              <w:t>30％</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AD5B10B">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rPr>
                <w:rFonts w:hint="default" w:cs="Times New Roman"/>
                <w:caps w:val="0"/>
                <w:color w:val="auto"/>
                <w:kern w:val="2"/>
                <w:sz w:val="21"/>
                <w:szCs w:val="21"/>
                <w:highlight w:val="none"/>
                <w:shd w:val="clear" w:fill="auto"/>
                <w:lang w:val="en-US" w:eastAsia="zh"/>
              </w:rPr>
            </w:pPr>
            <w:r>
              <w:rPr>
                <w:rFonts w:hint="default" w:cs="Times New Roman"/>
                <w:caps w:val="0"/>
                <w:color w:val="auto"/>
                <w:kern w:val="2"/>
                <w:sz w:val="21"/>
                <w:szCs w:val="21"/>
                <w:highlight w:val="none"/>
                <w:shd w:val="clear" w:fill="auto"/>
                <w:lang w:val="en-US" w:eastAsia="zh"/>
              </w:rPr>
              <w:t>约束性</w:t>
            </w:r>
            <w:r>
              <w:rPr>
                <w:rFonts w:hint="eastAsia" w:cs="Times New Roman"/>
                <w:caps w:val="0"/>
                <w:color w:val="auto"/>
                <w:kern w:val="2"/>
                <w:sz w:val="21"/>
                <w:szCs w:val="21"/>
                <w:highlight w:val="none"/>
                <w:shd w:val="clear" w:fill="auto"/>
                <w:lang w:val="en-US" w:eastAsia="zh"/>
              </w:rPr>
              <w:t>指标，2030年与2025年指标值对比</w:t>
            </w:r>
          </w:p>
          <w:p w14:paraId="72F8D678">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p>
        </w:tc>
      </w:tr>
      <w:tr w14:paraId="064E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470383EE">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eastAsia="zh"/>
              </w:rPr>
            </w:pPr>
            <w:r>
              <w:rPr>
                <w:rFonts w:hint="eastAsia" w:ascii="Times New Roman" w:hAnsi="Times New Roman" w:eastAsia="仿宋_GB2312" w:cs="Times New Roman"/>
                <w:caps w:val="0"/>
                <w:color w:val="auto"/>
                <w:kern w:val="2"/>
                <w:sz w:val="21"/>
                <w:szCs w:val="21"/>
                <w:highlight w:val="none"/>
                <w:shd w:val="clear" w:fill="auto"/>
                <w:lang w:val="en-US" w:eastAsia="zh-CN" w:bidi="ar-SA"/>
              </w:rPr>
              <w:t>2</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1C24F7D4">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生产安全事故起数</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7EB4D962">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snapToGrid/>
                <w:color w:val="auto"/>
                <w:kern w:val="2"/>
                <w:sz w:val="21"/>
                <w:szCs w:val="21"/>
                <w:highlight w:val="none"/>
                <w:shd w:val="clear" w:fill="auto"/>
                <w:lang w:val="en-US" w:eastAsia="zh" w:bidi="ar"/>
              </w:rPr>
              <w:t>91</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1CF0BCF3">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cs="Times New Roman"/>
                <w:caps w:val="0"/>
                <w:color w:val="auto"/>
                <w:kern w:val="2"/>
                <w:sz w:val="21"/>
                <w:szCs w:val="21"/>
                <w:highlight w:val="none"/>
                <w:shd w:val="clear" w:fill="auto"/>
                <w:lang w:val="en-US" w:eastAsia="zh-CN"/>
              </w:rPr>
              <w:t>下降33</w:t>
            </w:r>
            <w:r>
              <w:rPr>
                <w:rFonts w:hint="eastAsia" w:cs="Times New Roman"/>
                <w:caps w:val="0"/>
                <w:color w:val="auto"/>
                <w:kern w:val="2"/>
                <w:sz w:val="21"/>
                <w:szCs w:val="21"/>
                <w:highlight w:val="none"/>
                <w:shd w:val="clear" w:fill="auto"/>
                <w:lang w:val="en-US" w:eastAsia="zh-CN"/>
              </w:rPr>
              <w:t>％</w:t>
            </w: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47F0ADE4">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p>
        </w:tc>
      </w:tr>
      <w:tr w14:paraId="3032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44"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04043045">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eastAsia="zh"/>
              </w:rPr>
            </w:pPr>
            <w:r>
              <w:rPr>
                <w:rFonts w:hint="eastAsia" w:ascii="Times New Roman" w:hAnsi="Times New Roman" w:eastAsia="仿宋_GB2312" w:cs="Times New Roman"/>
                <w:caps w:val="0"/>
                <w:color w:val="auto"/>
                <w:kern w:val="2"/>
                <w:sz w:val="21"/>
                <w:szCs w:val="21"/>
                <w:highlight w:val="none"/>
                <w:shd w:val="clear" w:fill="auto"/>
                <w:lang w:val="en-US" w:eastAsia="zh-CN" w:bidi="ar-SA"/>
              </w:rPr>
              <w:t>3</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F8CBD77">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较大</w:t>
            </w:r>
            <w:r>
              <w:rPr>
                <w:rFonts w:hint="eastAsia" w:cs="Times New Roman"/>
                <w:caps w:val="0"/>
                <w:snapToGrid/>
                <w:color w:val="auto"/>
                <w:kern w:val="2"/>
                <w:sz w:val="21"/>
                <w:szCs w:val="21"/>
                <w:highlight w:val="none"/>
                <w:shd w:val="clear" w:fill="auto"/>
                <w:lang w:val="en-US" w:eastAsia="zh" w:bidi="ar"/>
              </w:rPr>
              <w:t>及以上</w:t>
            </w: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生产安全事故起数</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2EA47F63">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snapToGrid/>
                <w:color w:val="auto"/>
                <w:kern w:val="2"/>
                <w:sz w:val="21"/>
                <w:szCs w:val="21"/>
                <w:highlight w:val="none"/>
                <w:shd w:val="clear" w:fill="auto"/>
                <w:lang w:val="en-US" w:eastAsia="zh" w:bidi="ar"/>
              </w:rPr>
              <w:t>29</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24F9ED19">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eastAsia" w:cs="Times New Roman"/>
                <w:caps w:val="0"/>
                <w:color w:val="auto"/>
                <w:kern w:val="2"/>
                <w:sz w:val="21"/>
                <w:szCs w:val="21"/>
                <w:highlight w:val="none"/>
                <w:shd w:val="clear" w:fill="auto"/>
                <w:lang w:val="en-US" w:eastAsia="zh-CN"/>
              </w:rPr>
              <w:t>0</w:t>
            </w: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267DAE3A">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p>
        </w:tc>
      </w:tr>
      <w:tr w14:paraId="355A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74F4D49F">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eastAsia="zh"/>
              </w:rPr>
            </w:pPr>
            <w:r>
              <w:rPr>
                <w:rFonts w:hint="eastAsia" w:ascii="Times New Roman" w:hAnsi="Times New Roman" w:eastAsia="仿宋_GB2312" w:cs="Times New Roman"/>
                <w:caps w:val="0"/>
                <w:color w:val="auto"/>
                <w:kern w:val="2"/>
                <w:sz w:val="21"/>
                <w:szCs w:val="21"/>
                <w:highlight w:val="none"/>
                <w:shd w:val="clear" w:fill="auto"/>
                <w:lang w:val="en-US" w:eastAsia="zh-CN" w:bidi="ar-SA"/>
              </w:rPr>
              <w:t>4</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38840647">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color w:val="000000"/>
                <w:kern w:val="2"/>
                <w:sz w:val="28"/>
                <w:szCs w:val="28"/>
                <w:highlight w:val="none"/>
                <w:u w:val="none"/>
                <w:shd w:val="clear" w:fill="auto"/>
                <w:lang w:eastAsia="zh"/>
              </w:rPr>
            </w:pP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亿元</w:t>
            </w:r>
            <w:r>
              <w:rPr>
                <w:rFonts w:hint="default" w:cs="Times New Roman"/>
                <w:caps w:val="0"/>
                <w:snapToGrid/>
                <w:color w:val="auto"/>
                <w:kern w:val="2"/>
                <w:sz w:val="21"/>
                <w:szCs w:val="21"/>
                <w:highlight w:val="none"/>
                <w:shd w:val="clear" w:fill="auto"/>
                <w:lang w:val="en-US" w:eastAsia="zh" w:bidi="ar"/>
              </w:rPr>
              <w:t>地区</w:t>
            </w: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生产总值生产安全事故死亡率</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0D30AC9E">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snapToGrid/>
                <w:color w:val="auto"/>
                <w:kern w:val="2"/>
                <w:sz w:val="21"/>
                <w:szCs w:val="21"/>
                <w:highlight w:val="none"/>
                <w:shd w:val="clear" w:fill="auto"/>
                <w:lang w:val="en-US" w:eastAsia="zh" w:bidi="ar"/>
              </w:rPr>
              <w:t>0.0121</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7CD0683A">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ascii="Times New Roman" w:hAnsi="Times New Roman" w:eastAsia="仿宋_GB2312" w:cs="Times New Roman"/>
                <w:caps w:val="0"/>
                <w:color w:val="auto"/>
                <w:kern w:val="2"/>
                <w:sz w:val="21"/>
                <w:szCs w:val="21"/>
                <w:highlight w:val="none"/>
                <w:shd w:val="clear" w:fill="auto"/>
              </w:rPr>
              <w:t>下降</w:t>
            </w:r>
            <w:r>
              <w:rPr>
                <w:rFonts w:hint="eastAsia" w:cs="Times New Roman"/>
                <w:caps w:val="0"/>
                <w:color w:val="auto"/>
                <w:kern w:val="2"/>
                <w:sz w:val="21"/>
                <w:szCs w:val="21"/>
                <w:highlight w:val="none"/>
                <w:shd w:val="clear" w:fill="auto"/>
                <w:lang w:val="en-US" w:eastAsia="zh-CN"/>
              </w:rPr>
              <w:t>40</w:t>
            </w:r>
            <w:r>
              <w:rPr>
                <w:rFonts w:hint="eastAsia" w:ascii="Times New Roman" w:hAnsi="Times New Roman" w:eastAsia="仿宋_GB2312" w:cs="Times New Roman"/>
                <w:caps w:val="0"/>
                <w:color w:val="auto"/>
                <w:kern w:val="2"/>
                <w:sz w:val="21"/>
                <w:szCs w:val="21"/>
                <w:highlight w:val="none"/>
                <w:shd w:val="clear" w:fill="auto"/>
                <w:lang w:eastAsia="zh-CN"/>
              </w:rPr>
              <w:t>％</w:t>
            </w: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9D57BBC">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p>
        </w:tc>
      </w:tr>
      <w:tr w14:paraId="65C1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1AF948C0">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eastAsia" w:ascii="Times New Roman" w:hAnsi="Times New Roman" w:eastAsia="仿宋_GB2312" w:cs="Times New Roman"/>
                <w:caps w:val="0"/>
                <w:color w:val="auto"/>
                <w:kern w:val="2"/>
                <w:sz w:val="21"/>
                <w:szCs w:val="21"/>
                <w:highlight w:val="none"/>
                <w:shd w:val="clear" w:fill="auto"/>
                <w:lang w:val="en-US" w:eastAsia="zh-CN" w:bidi="ar-SA"/>
              </w:rPr>
              <w:t>5</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0721B14E">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ascii="Times New Roman" w:hAnsi="Times New Roman" w:eastAsia="仿宋_GB2312" w:cs="Times New Roman"/>
                <w:caps w:val="0"/>
                <w:color w:val="auto"/>
                <w:kern w:val="2"/>
                <w:sz w:val="21"/>
                <w:szCs w:val="21"/>
                <w:highlight w:val="none"/>
                <w:shd w:val="clear" w:fill="auto"/>
                <w:lang w:eastAsia="zh"/>
              </w:rPr>
              <w:t>工矿商贸就业人员十万人生产安全事故死亡率</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2A8A8CCE">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color w:val="auto"/>
                <w:kern w:val="2"/>
                <w:sz w:val="21"/>
                <w:szCs w:val="21"/>
                <w:highlight w:val="none"/>
                <w:shd w:val="clear" w:fill="auto"/>
                <w:lang w:eastAsia="zh-CN"/>
              </w:rPr>
              <w:t>（</w:t>
            </w:r>
            <w:r>
              <w:rPr>
                <w:rFonts w:hint="eastAsia" w:cs="Times New Roman"/>
                <w:caps w:val="0"/>
                <w:color w:val="auto"/>
                <w:kern w:val="2"/>
                <w:sz w:val="21"/>
                <w:szCs w:val="21"/>
                <w:highlight w:val="none"/>
                <w:shd w:val="clear" w:fill="auto"/>
                <w:lang w:val="en-US" w:eastAsia="zh-CN"/>
              </w:rPr>
              <w:t>待补充</w:t>
            </w:r>
            <w:r>
              <w:rPr>
                <w:rFonts w:hint="eastAsia" w:cs="Times New Roman"/>
                <w:caps w:val="0"/>
                <w:color w:val="auto"/>
                <w:kern w:val="2"/>
                <w:sz w:val="21"/>
                <w:szCs w:val="21"/>
                <w:highlight w:val="none"/>
                <w:shd w:val="clear" w:fill="auto"/>
                <w:lang w:eastAsia="zh-CN"/>
              </w:rPr>
              <w:t>）</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4543B38">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default" w:ascii="Times New Roman" w:hAnsi="Times New Roman" w:eastAsia="仿宋_GB2312" w:cs="Times New Roman"/>
                <w:caps w:val="0"/>
                <w:color w:val="auto"/>
                <w:kern w:val="2"/>
                <w:sz w:val="21"/>
                <w:szCs w:val="21"/>
                <w:highlight w:val="none"/>
                <w:shd w:val="clear" w:fill="auto"/>
              </w:rPr>
              <w:t>下降</w:t>
            </w:r>
            <w:r>
              <w:rPr>
                <w:rFonts w:hint="eastAsia" w:ascii="Times New Roman" w:hAnsi="Times New Roman" w:eastAsia="仿宋_GB2312" w:cs="Times New Roman"/>
                <w:caps w:val="0"/>
                <w:color w:val="auto"/>
                <w:kern w:val="2"/>
                <w:sz w:val="21"/>
                <w:szCs w:val="21"/>
                <w:highlight w:val="none"/>
                <w:shd w:val="clear" w:fill="auto"/>
                <w:lang w:val="en-US" w:eastAsia="zh-CN"/>
              </w:rPr>
              <w:t>30</w:t>
            </w:r>
            <w:r>
              <w:rPr>
                <w:rFonts w:hint="eastAsia" w:ascii="Times New Roman" w:hAnsi="Times New Roman" w:eastAsia="仿宋_GB2312" w:cs="Times New Roman"/>
                <w:caps w:val="0"/>
                <w:color w:val="auto"/>
                <w:kern w:val="2"/>
                <w:sz w:val="21"/>
                <w:szCs w:val="21"/>
                <w:highlight w:val="none"/>
                <w:shd w:val="clear" w:fill="auto"/>
                <w:lang w:eastAsia="zh-CN"/>
              </w:rPr>
              <w:t>％</w:t>
            </w: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7C40397F">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p>
        </w:tc>
      </w:tr>
      <w:tr w14:paraId="6230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6DDD3AAE">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val="en-US" w:eastAsia="zh" w:bidi="ar-SA"/>
              </w:rPr>
            </w:pPr>
            <w:r>
              <w:rPr>
                <w:rFonts w:hint="eastAsia" w:ascii="Times New Roman" w:hAnsi="Times New Roman" w:eastAsia="仿宋_GB2312" w:cs="Times New Roman"/>
                <w:caps w:val="0"/>
                <w:color w:val="auto"/>
                <w:kern w:val="2"/>
                <w:sz w:val="21"/>
                <w:szCs w:val="21"/>
                <w:highlight w:val="none"/>
                <w:shd w:val="clear" w:fill="auto"/>
                <w:lang w:val="en-US" w:eastAsia="zh-CN" w:bidi="ar-SA"/>
              </w:rPr>
              <w:t>6</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3EA3F7AB">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snapToGrid/>
                <w:color w:val="000000"/>
                <w:kern w:val="2"/>
                <w:sz w:val="28"/>
                <w:szCs w:val="28"/>
                <w:highlight w:val="none"/>
                <w:u w:val="none"/>
                <w:shd w:val="clear" w:fill="auto"/>
                <w:lang w:val="en-US" w:eastAsia="zh" w:bidi="ar"/>
              </w:rPr>
            </w:pP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年均每百万人口因自然灾害死亡</w:t>
            </w:r>
            <w:r>
              <w:rPr>
                <w:rFonts w:hint="eastAsia" w:cs="Times New Roman"/>
                <w:caps w:val="0"/>
                <w:snapToGrid/>
                <w:color w:val="auto"/>
                <w:kern w:val="2"/>
                <w:sz w:val="21"/>
                <w:szCs w:val="21"/>
                <w:highlight w:val="none"/>
                <w:shd w:val="clear" w:fill="auto"/>
                <w:lang w:val="en-US" w:eastAsia="zh" w:bidi="ar"/>
              </w:rPr>
              <w:t>人数</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384F603F">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snapToGrid/>
                <w:color w:val="auto"/>
                <w:kern w:val="2"/>
                <w:sz w:val="21"/>
                <w:szCs w:val="21"/>
                <w:highlight w:val="none"/>
                <w:shd w:val="clear" w:fill="auto"/>
                <w:lang w:val="en-US" w:eastAsia="zh" w:bidi="ar"/>
              </w:rPr>
              <w:t>0.2</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3B97467B">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rPr>
            </w:pPr>
            <w:r>
              <w:rPr>
                <w:rFonts w:hint="eastAsia" w:cs="Times New Roman"/>
                <w:caps w:val="0"/>
                <w:color w:val="auto"/>
                <w:kern w:val="2"/>
                <w:sz w:val="21"/>
                <w:szCs w:val="21"/>
                <w:highlight w:val="none"/>
                <w:shd w:val="clear" w:fill="auto"/>
                <w:lang w:val="en-US" w:eastAsia="zh-CN"/>
              </w:rPr>
              <w:t>＜</w:t>
            </w:r>
            <w:r>
              <w:rPr>
                <w:rFonts w:hint="default" w:cs="Times New Roman"/>
                <w:caps w:val="0"/>
                <w:color w:val="auto"/>
                <w:kern w:val="2"/>
                <w:sz w:val="21"/>
                <w:szCs w:val="21"/>
                <w:highlight w:val="none"/>
                <w:shd w:val="clear" w:fill="auto"/>
                <w:lang w:val="en-US" w:eastAsia="zh-CN"/>
              </w:rPr>
              <w:t>0.</w:t>
            </w:r>
            <w:r>
              <w:rPr>
                <w:rFonts w:hint="eastAsia" w:cs="Times New Roman"/>
                <w:caps w:val="0"/>
                <w:color w:val="auto"/>
                <w:kern w:val="2"/>
                <w:sz w:val="21"/>
                <w:szCs w:val="21"/>
                <w:highlight w:val="none"/>
                <w:shd w:val="clear" w:fill="auto"/>
                <w:lang w:val="en-US" w:eastAsia="zh-CN"/>
              </w:rPr>
              <w:t>7</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12A0CBE3">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color w:val="auto"/>
                <w:kern w:val="2"/>
                <w:sz w:val="21"/>
                <w:szCs w:val="21"/>
                <w:highlight w:val="none"/>
                <w:shd w:val="clear" w:fill="auto"/>
                <w:lang w:val="en-US" w:eastAsia="zh"/>
              </w:rPr>
              <w:t>预期性指标，“十五五”年均值</w:t>
            </w:r>
          </w:p>
        </w:tc>
      </w:tr>
      <w:tr w14:paraId="012E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783FD6DA">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eastAsia="zh"/>
              </w:rPr>
            </w:pPr>
            <w:r>
              <w:rPr>
                <w:rFonts w:hint="eastAsia" w:ascii="Times New Roman" w:hAnsi="Times New Roman" w:eastAsia="仿宋_GB2312" w:cs="Times New Roman"/>
                <w:caps w:val="0"/>
                <w:color w:val="auto"/>
                <w:kern w:val="2"/>
                <w:sz w:val="21"/>
                <w:szCs w:val="21"/>
                <w:highlight w:val="none"/>
                <w:shd w:val="clear" w:fill="auto"/>
                <w:lang w:val="en-US" w:eastAsia="zh-CN" w:bidi="ar-SA"/>
              </w:rPr>
              <w:t>7</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0DE8DA86">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color w:val="000000"/>
                <w:kern w:val="2"/>
                <w:sz w:val="28"/>
                <w:szCs w:val="28"/>
                <w:highlight w:val="none"/>
                <w:u w:val="none"/>
                <w:shd w:val="clear" w:fill="auto"/>
                <w:lang w:val="en-US" w:eastAsia="zh-CN" w:bidi="ar-SA"/>
              </w:rPr>
            </w:pPr>
            <w:r>
              <w:rPr>
                <w:rFonts w:hint="default" w:ascii="Times New Roman" w:hAnsi="Times New Roman" w:eastAsia="仿宋_GB2312" w:cs="Times New Roman"/>
                <w:caps w:val="0"/>
                <w:snapToGrid/>
                <w:color w:val="auto"/>
                <w:kern w:val="2"/>
                <w:sz w:val="21"/>
                <w:szCs w:val="21"/>
                <w:highlight w:val="none"/>
                <w:shd w:val="clear" w:fill="auto"/>
                <w:lang w:val="en-US" w:eastAsia="zh" w:bidi="ar"/>
              </w:rPr>
              <w:t>年均每十万人受灾人次</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69E1F8FF">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eastAsia" w:cs="Times New Roman"/>
                <w:caps w:val="0"/>
                <w:snapToGrid/>
                <w:color w:val="auto"/>
                <w:kern w:val="2"/>
                <w:sz w:val="21"/>
                <w:szCs w:val="21"/>
                <w:highlight w:val="none"/>
                <w:shd w:val="clear" w:fill="auto"/>
                <w:lang w:val="en-US" w:eastAsia="zh" w:bidi="ar"/>
              </w:rPr>
              <w:t>6756</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5FBFF8DB">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val="en-US" w:eastAsia="zh-CN" w:bidi="ar-SA"/>
              </w:rPr>
            </w:pPr>
            <w:r>
              <w:rPr>
                <w:rFonts w:hint="eastAsia" w:ascii="Times New Roman" w:hAnsi="Times New Roman" w:eastAsia="仿宋_GB2312" w:cs="Times New Roman"/>
                <w:caps w:val="0"/>
                <w:color w:val="auto"/>
                <w:kern w:val="2"/>
                <w:sz w:val="21"/>
                <w:szCs w:val="21"/>
                <w:highlight w:val="none"/>
                <w:shd w:val="clear" w:fill="auto"/>
                <w:lang w:eastAsia="zh-CN"/>
              </w:rPr>
              <w:t>＜</w:t>
            </w:r>
            <w:r>
              <w:rPr>
                <w:rFonts w:hint="default" w:ascii="Times New Roman" w:hAnsi="Times New Roman" w:eastAsia="仿宋_GB2312" w:cs="Times New Roman"/>
                <w:caps w:val="0"/>
                <w:color w:val="auto"/>
                <w:kern w:val="2"/>
                <w:sz w:val="21"/>
                <w:szCs w:val="21"/>
                <w:highlight w:val="none"/>
                <w:shd w:val="clear" w:fill="auto"/>
              </w:rPr>
              <w:t xml:space="preserve"> 11000</w:t>
            </w: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0C019D91">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p>
        </w:tc>
      </w:tr>
      <w:tr w14:paraId="3EC0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691B00C5">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val="en-US" w:eastAsia="zh" w:bidi="ar-SA"/>
              </w:rPr>
            </w:pPr>
            <w:r>
              <w:rPr>
                <w:rFonts w:hint="eastAsia" w:ascii="Times New Roman" w:hAnsi="Times New Roman" w:eastAsia="仿宋_GB2312" w:cs="Times New Roman"/>
                <w:caps w:val="0"/>
                <w:color w:val="auto"/>
                <w:kern w:val="2"/>
                <w:sz w:val="21"/>
                <w:szCs w:val="21"/>
                <w:highlight w:val="none"/>
                <w:shd w:val="clear" w:fill="auto"/>
                <w:lang w:val="en-US" w:eastAsia="zh-CN" w:bidi="ar-SA"/>
              </w:rPr>
              <w:t>8</w:t>
            </w:r>
          </w:p>
        </w:tc>
        <w:tc>
          <w:tcPr>
            <w:tcW w:w="3624"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28E1C70F">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方正仿宋_GBK" w:hAnsi="方正仿宋_GBK" w:eastAsia="方正仿宋_GBK" w:cs="方正仿宋_GBK"/>
                <w:caps w:val="0"/>
                <w:snapToGrid/>
                <w:color w:val="000000"/>
                <w:kern w:val="2"/>
                <w:sz w:val="28"/>
                <w:szCs w:val="28"/>
                <w:highlight w:val="none"/>
                <w:u w:val="none"/>
                <w:shd w:val="clear" w:fill="auto"/>
                <w:lang w:val="en-US" w:eastAsia="zh-CN" w:bidi="ar"/>
              </w:rPr>
            </w:pP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年均因自然灾害直接经济损失占</w:t>
            </w:r>
            <w:r>
              <w:rPr>
                <w:rFonts w:hint="default" w:cs="Times New Roman"/>
                <w:caps w:val="0"/>
                <w:snapToGrid/>
                <w:color w:val="auto"/>
                <w:kern w:val="2"/>
                <w:sz w:val="21"/>
                <w:szCs w:val="21"/>
                <w:highlight w:val="none"/>
                <w:shd w:val="clear" w:fill="auto"/>
                <w:lang w:val="en-US" w:eastAsia="zh" w:bidi="ar"/>
              </w:rPr>
              <w:t>全省地区</w:t>
            </w:r>
            <w:r>
              <w:rPr>
                <w:rFonts w:hint="default" w:ascii="Times New Roman" w:hAnsi="Times New Roman" w:eastAsia="仿宋_GB2312" w:cs="Times New Roman"/>
                <w:caps w:val="0"/>
                <w:snapToGrid/>
                <w:color w:val="auto"/>
                <w:kern w:val="2"/>
                <w:sz w:val="21"/>
                <w:szCs w:val="21"/>
                <w:highlight w:val="none"/>
                <w:shd w:val="clear" w:fill="auto"/>
                <w:lang w:val="en-US" w:eastAsia="zh-CN" w:bidi="ar"/>
              </w:rPr>
              <w:t>生产总值比例</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477DED28">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r>
              <w:rPr>
                <w:rFonts w:hint="default" w:cs="Times New Roman"/>
                <w:caps w:val="0"/>
                <w:color w:val="auto"/>
                <w:kern w:val="2"/>
                <w:sz w:val="21"/>
                <w:szCs w:val="21"/>
                <w:highlight w:val="none"/>
                <w:shd w:val="clear" w:fill="auto"/>
                <w:lang w:val="en-US" w:eastAsia="zh-CN"/>
              </w:rPr>
              <w:t>0.</w:t>
            </w:r>
            <w:r>
              <w:rPr>
                <w:rFonts w:hint="eastAsia" w:cs="Times New Roman"/>
                <w:caps w:val="0"/>
                <w:color w:val="auto"/>
                <w:kern w:val="2"/>
                <w:sz w:val="21"/>
                <w:szCs w:val="21"/>
                <w:highlight w:val="none"/>
                <w:shd w:val="clear" w:fill="auto"/>
                <w:lang w:val="en-US" w:eastAsia="zh"/>
              </w:rPr>
              <w:t>3</w:t>
            </w:r>
            <w:r>
              <w:rPr>
                <w:rFonts w:hint="eastAsia" w:ascii="Times New Roman" w:hAnsi="Times New Roman" w:eastAsia="仿宋_GB2312" w:cs="Times New Roman"/>
                <w:caps w:val="0"/>
                <w:color w:val="auto"/>
                <w:kern w:val="2"/>
                <w:sz w:val="21"/>
                <w:szCs w:val="21"/>
                <w:highlight w:val="none"/>
                <w:shd w:val="clear" w:fill="auto"/>
                <w:lang w:eastAsia="zh-CN"/>
              </w:rPr>
              <w:t>％</w:t>
            </w:r>
          </w:p>
        </w:tc>
        <w:tc>
          <w:tcPr>
            <w:tcW w:w="1208" w:type="dxa"/>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6FE3CB19">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caps w:val="0"/>
                <w:color w:val="000000"/>
                <w:kern w:val="2"/>
                <w:sz w:val="28"/>
                <w:szCs w:val="28"/>
                <w:highlight w:val="none"/>
                <w:u w:val="none"/>
                <w:shd w:val="clear" w:fill="auto"/>
                <w:lang w:val="en-US" w:eastAsia="zh-CN" w:bidi="ar-SA"/>
              </w:rPr>
            </w:pPr>
            <w:r>
              <w:rPr>
                <w:rFonts w:hint="eastAsia" w:cs="Times New Roman"/>
                <w:caps w:val="0"/>
                <w:color w:val="auto"/>
                <w:kern w:val="2"/>
                <w:sz w:val="21"/>
                <w:szCs w:val="21"/>
                <w:highlight w:val="none"/>
                <w:shd w:val="clear" w:fill="auto"/>
                <w:lang w:val="en-US" w:eastAsia="zh-CN"/>
              </w:rPr>
              <w:t>＜</w:t>
            </w:r>
            <w:r>
              <w:rPr>
                <w:rFonts w:hint="default" w:cs="Times New Roman"/>
                <w:caps w:val="0"/>
                <w:color w:val="auto"/>
                <w:kern w:val="2"/>
                <w:sz w:val="21"/>
                <w:szCs w:val="21"/>
                <w:highlight w:val="none"/>
                <w:shd w:val="clear" w:fill="auto"/>
                <w:lang w:val="en-US" w:eastAsia="zh-CN"/>
              </w:rPr>
              <w:t>0.8</w:t>
            </w:r>
            <w:r>
              <w:rPr>
                <w:rFonts w:hint="eastAsia" w:ascii="Times New Roman" w:hAnsi="Times New Roman" w:eastAsia="仿宋_GB2312" w:cs="Times New Roman"/>
                <w:caps w:val="0"/>
                <w:color w:val="auto"/>
                <w:kern w:val="2"/>
                <w:sz w:val="21"/>
                <w:szCs w:val="21"/>
                <w:highlight w:val="none"/>
                <w:shd w:val="clear" w:fill="auto"/>
                <w:lang w:eastAsia="zh-CN"/>
              </w:rPr>
              <w:t>％</w:t>
            </w: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75" w:type="dxa"/>
              <w:left w:w="105" w:type="dxa"/>
              <w:bottom w:w="75" w:type="dxa"/>
              <w:right w:w="105" w:type="dxa"/>
            </w:tcMar>
            <w:vAlign w:val="center"/>
          </w:tcPr>
          <w:p w14:paraId="2EFE162F">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240" w:lineRule="auto"/>
              <w:ind w:left="0" w:leftChars="0" w:right="0" w:rightChars="0" w:firstLine="0" w:firstLineChars="0"/>
              <w:jc w:val="center"/>
            </w:pPr>
          </w:p>
        </w:tc>
      </w:tr>
    </w:tbl>
    <w:p w14:paraId="49E4D34F">
      <w:pPr>
        <w:pStyle w:val="25"/>
        <w:widowControl/>
      </w:pPr>
      <w:bookmarkStart w:id="28" w:name="_Toc18803"/>
      <w:bookmarkStart w:id="29" w:name="_Toc28031"/>
      <w:bookmarkStart w:id="30" w:name="_Toc30391"/>
      <w:bookmarkStart w:id="31" w:name="_Toc29359"/>
      <w:bookmarkStart w:id="32" w:name="_Toc28559"/>
      <w:r>
        <w:t>第二章  主要任务</w:t>
      </w:r>
      <w:bookmarkEnd w:id="28"/>
      <w:bookmarkEnd w:id="29"/>
      <w:bookmarkEnd w:id="30"/>
    </w:p>
    <w:bookmarkEnd w:id="10"/>
    <w:bookmarkEnd w:id="11"/>
    <w:bookmarkEnd w:id="12"/>
    <w:bookmarkEnd w:id="31"/>
    <w:bookmarkEnd w:id="32"/>
    <w:p w14:paraId="6DAD514C">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围绕进一步提升应急管理能力现代化建设，基于台山市应急管理监管实践，围绕应急指挥、安全治理、灾害防治、应急救援、科技创新、多元共治等六个体系展开。</w:t>
      </w:r>
    </w:p>
    <w:p w14:paraId="30CE490D">
      <w:pPr>
        <w:pStyle w:val="3"/>
        <w:keepNext w:val="0"/>
        <w:keepLines w:val="0"/>
        <w:pageBreakBefore w:val="0"/>
        <w:widowControl w:val="0"/>
        <w:numPr>
          <w:ilvl w:val="-1"/>
          <w:numId w:val="0"/>
        </w:numPr>
        <w:kinsoku/>
        <w:wordWrap/>
        <w:overflowPunct/>
        <w:topLinePunct w:val="0"/>
        <w:autoSpaceDE/>
        <w:autoSpaceDN/>
        <w:bidi w:val="0"/>
        <w:adjustRightInd w:val="0"/>
        <w:snapToGrid/>
        <w:spacing w:before="0" w:beforeLines="0" w:after="0" w:afterLines="0"/>
        <w:ind w:left="0" w:leftChars="0" w:firstLine="643" w:firstLineChars="200"/>
        <w:jc w:val="both"/>
        <w:textAlignment w:val="auto"/>
        <w:outlineLvl w:val="0"/>
        <w:rPr>
          <w:rFonts w:hint="eastAsia" w:ascii="方正仿宋_GBK" w:hAnsi="方正仿宋_GBK" w:eastAsia="方正仿宋_GBK" w:cs="方正仿宋_GBK"/>
          <w:b/>
          <w:sz w:val="32"/>
          <w:szCs w:val="32"/>
          <w:highlight w:val="none"/>
        </w:rPr>
      </w:pPr>
      <w:bookmarkStart w:id="33" w:name="_Toc16067"/>
      <w:bookmarkStart w:id="34" w:name="_Toc5484"/>
      <w:bookmarkStart w:id="35" w:name="_Toc5911"/>
      <w:bookmarkStart w:id="36" w:name="_Toc50632671"/>
      <w:bookmarkStart w:id="37" w:name="_Toc3152"/>
      <w:bookmarkStart w:id="38" w:name="_Toc66697170"/>
      <w:r>
        <w:rPr>
          <w:rFonts w:hint="eastAsia"/>
          <w:sz w:val="32"/>
          <w:szCs w:val="32"/>
          <w:lang w:eastAsia="zh-CN"/>
        </w:rPr>
        <w:t>第一</w:t>
      </w:r>
      <w:r>
        <w:rPr>
          <w:rFonts w:hint="eastAsia"/>
          <w:sz w:val="32"/>
          <w:szCs w:val="32"/>
          <w:lang w:val="en-US" w:eastAsia="zh-CN"/>
        </w:rPr>
        <w:t xml:space="preserve">节 </w:t>
      </w:r>
      <w:r>
        <w:rPr>
          <w:rFonts w:hint="eastAsia" w:ascii="Times New Roman" w:hAnsi="Times New Roman" w:eastAsia="方正楷体_GBK" w:cs="Times New Roman"/>
          <w:sz w:val="32"/>
          <w:szCs w:val="32"/>
          <w:lang w:eastAsia="zh-CN"/>
        </w:rPr>
        <w:t>健全应急指挥体系，提升统筹处置能力</w:t>
      </w:r>
      <w:bookmarkEnd w:id="33"/>
      <w:bookmarkEnd w:id="34"/>
      <w:bookmarkEnd w:id="35"/>
    </w:p>
    <w:p w14:paraId="4D7A467F">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健全应急指挥体系。完善“三委四部”相关工作机制，进一步明晰职责分工、理顺运行流程，强化统一指挥、统筹调度、综合协调，建立健全与公共卫生类、社会安全类等有关议事协调机构的信息互通、沟通会商、协同工作机制。市应急委构建统一联动应急管理体系，编制各级应急预案，规范应急处置，防范化解灾害风险，保障群众生命财产安全。市安委会压实安全生产责任制，落实“三管三必须”，强化行业监管和企业主体责任，深化重点领域全链条隐患治理、风险防控，压降事故、提升全域安全水平。市减灾委整合防灾减灾资源，衔接“防救”责任链条，推进应急避难场所建设、基层资源下沉，健全灾情统计、物资保障、灾后重建协同机制。市三防指挥部建强末端三防责任体系，优化预警响应联动，落实临灾预警“叫应”机制，完善水利、排涝设施，提升洪涝灾害处置能力。市森防指挥部坚持预防前置、关口前移，落实林长制，压实各方防控责任，强化火源管控和队伍实训，从严火灾执法追责。市抗震指挥部完善全域地震预案体系，配齐应急保障力量物资，常态化开展应急演练，降低地震灾害损失。市地质灾害指挥部压实部门防控救援职责，健全监测预警、隐患排查体系，升级防控模式，强化应急协同处置，最大限度降低地质灾害损失。</w:t>
      </w:r>
    </w:p>
    <w:p w14:paraId="2F495C69">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优化指挥联动机制。厘清各级议事协调机构与专项指挥机制职责边界，健全联合值守、信息报送、资源共享、跨域救援协同机制。强化应急、公安、交通、气象、海事、农业农村等部门联动，全面对接江门“1312”应急响应圈，完善跨部门、跨区域“平时精准防控、灾时高效处置”联动格局，提升突发事件统一指挥效能。建立专职值班长+专职值班员轮班机制，强化值班值守业务培训与考核。严格落实24小时值班和领导带班制度，健全突发事件信息首报、续报、终报闭环报送机制，确保指令快速传达、处置规范有序、信息不漏不迟不瞒。</w:t>
      </w:r>
    </w:p>
    <w:p w14:paraId="57DCA92B">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加速应急预案制定。修订完善《台山市突发事件总体应急预案》，以总体预案为基础，推动分层、分级、分类修订完善各级各类应急预案，构建“全面覆盖、衔接顺畅、实用管用”的应急预案体系，修订突发事件总体预案，统筹推进各级各类预案分层分级分类修编，构建全覆盖、衔接顺畅、实用管用的预案体系，贯通各领域、各层级应急处置工作，依托应急演练、事件复盘、定期评估动态优化预案，提升预案科学性与实操性；其中，修订全市总体预案，围绕应急处置全流程明确总体要求、事件分级、组织指挥、风险防控、处置救援、保障恢复及预案管理等核心内容，指导行业部门完成市级专项预案修编，细化各类突发事件指挥机制、风险管控、预警报送、现场处置、物资保障等要求，指导各镇（街）结合属地权责与应急能力修编综合预案，规范风险研判、预警上报、先期处置、人员转移安置等工作，指导各村（社区）结合属地灾害风险，围绕人员转移五大要素，分灾种优化完善“一页纸”简易应急预案。</w:t>
      </w:r>
    </w:p>
    <w:p w14:paraId="5C005C31">
      <w:pPr>
        <w:pStyle w:val="11"/>
        <w:widowControl/>
        <w:pBdr>
          <w:top w:val="none" w:color="auto" w:sz="0" w:space="0"/>
          <w:left w:val="none" w:color="auto" w:sz="0" w:space="0"/>
          <w:right w:val="none" w:color="auto" w:sz="0" w:space="0"/>
        </w:pBdr>
        <w:spacing w:before="0" w:beforeLines="-2147483648" w:after="0" w:afterLines="-2147483648" w:line="240" w:lineRule="auto"/>
        <w:ind w:firstLine="0"/>
        <w:rPr>
          <w:rStyle w:val="26"/>
          <w:rFonts w:hint="eastAsia" w:ascii="方正仿宋_GBK" w:hAnsi="方正仿宋_GBK" w:eastAsia="方正仿宋_GBK" w:cs="方正仿宋_GBK"/>
          <w:b w:val="0"/>
          <w:bCs/>
          <w:color w:val="1F2329"/>
          <w:sz w:val="32"/>
          <w:szCs w:val="32"/>
          <w:lang w:eastAsia="zh-CN"/>
        </w:rPr>
      </w:pPr>
    </w:p>
    <w:tbl>
      <w:tblPr>
        <w:tblStyle w:val="20"/>
        <w:tblW w:w="49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7"/>
      </w:tblGrid>
      <w:tr w14:paraId="70D7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shd w:val="clear" w:color="auto" w:fill="auto"/>
            <w:vAlign w:val="center"/>
          </w:tcPr>
          <w:p w14:paraId="236BDA85">
            <w:pPr>
              <w:spacing w:before="4" w:line="219" w:lineRule="auto"/>
              <w:ind w:left="1820" w:leftChars="0"/>
              <w:jc w:val="both"/>
              <w:outlineLvl w:val="9"/>
              <w:rPr>
                <w:rFonts w:hint="eastAsia" w:ascii="FangSong_GB2312" w:hAnsi="FangSong_GB2312" w:eastAsia="FangSong_GB2312" w:cs="FangSong_GB2312"/>
                <w:kern w:val="2"/>
                <w:sz w:val="32"/>
                <w:lang w:val="en-US" w:eastAsia="zh-CN" w:bidi="ar-SA"/>
              </w:rPr>
            </w:pPr>
            <w:r>
              <w:rPr>
                <w:rFonts w:hint="default" w:ascii="Times New Roman" w:hAnsi="Times New Roman" w:eastAsia="黑体" w:cs="Times New Roman"/>
                <w:bCs/>
                <w:caps w:val="0"/>
                <w:color w:val="auto"/>
                <w:kern w:val="0"/>
                <w:sz w:val="28"/>
                <w:szCs w:val="28"/>
                <w:highlight w:val="none"/>
                <w:lang w:val="en-US" w:eastAsia="zh-CN" w:bidi="ar"/>
              </w:rPr>
              <w:t xml:space="preserve">专栏 2   </w:t>
            </w:r>
            <w:r>
              <w:rPr>
                <w:rFonts w:hint="eastAsia" w:ascii="Times New Roman" w:hAnsi="Times New Roman" w:eastAsia="黑体" w:cs="Times New Roman"/>
                <w:bCs/>
                <w:caps w:val="0"/>
                <w:color w:val="auto"/>
                <w:kern w:val="0"/>
                <w:sz w:val="28"/>
                <w:szCs w:val="28"/>
                <w:highlight w:val="none"/>
                <w:lang w:val="en-US" w:eastAsia="zh-CN" w:bidi="ar"/>
              </w:rPr>
              <w:t>应急指挥与智慧支撑能力提升工程</w:t>
            </w:r>
          </w:p>
        </w:tc>
      </w:tr>
      <w:tr w14:paraId="52E7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5000" w:type="pct"/>
            <w:tcBorders>
              <w:top w:val="single" w:color="auto" w:sz="4" w:space="0"/>
              <w:left w:val="single" w:color="auto" w:sz="4" w:space="0"/>
              <w:bottom w:val="single" w:color="auto" w:sz="4" w:space="0"/>
              <w:right w:val="single" w:color="auto" w:sz="4" w:space="0"/>
            </w:tcBorders>
            <w:shd w:val="clear" w:color="auto" w:fill="auto"/>
            <w:vAlign w:val="top"/>
          </w:tcPr>
          <w:p w14:paraId="3F0E65BC">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应急指挥部（中心）建设项目。支持推动市应急指挥部和重点镇（街）应急指挥中心改造建设，更新完善设施设备，配齐配强现场指挥作战装备，以夯实应急指挥的物理基础与快速反应能力。开展信息化系统升级改造与个性化建设（含应急指挥调度、监测预警、基层治理系统等），并推动市应急指挥部与人民防空基本指挥所互联互通、互为备份，构建坚固可靠、智能协同的现代化应急指挥中枢，确保在极端情况下指挥体系的高效运转与持续稳定。</w:t>
            </w:r>
          </w:p>
          <w:p w14:paraId="658F2E49">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en-US"/>
              </w:rPr>
            </w:pPr>
            <w:r>
              <w:rPr>
                <w:rFonts w:hint="eastAsia" w:ascii="仿宋_GB2312" w:hAnsi="仿宋_GB2312" w:eastAsia="仿宋_GB2312" w:cs="仿宋_GB2312"/>
                <w:color w:val="000000"/>
                <w:sz w:val="32"/>
                <w:szCs w:val="32"/>
                <w:lang w:val="en-US" w:eastAsia="zh-CN"/>
              </w:rPr>
              <w:t>“一网统管”智慧应急系统升级项目。支持江门市“一网统管”智慧应急系统全面完成系统信创改造，畅通各类突发事件信息接报与同步推送至基层的渠道，旨在破除信息孤岛。通过全面汇聚融合安全生产、灾害防御、应急救援的各类数据资源及视频监控、无人机信号，构建并动态更新全市灾害风险“一张图”和应急力量“一张图”，从而为跨部门、跨层级的应急指挥决策和资源精准调度提供统一、权威、智能的信息化核心支撑。</w:t>
            </w:r>
          </w:p>
        </w:tc>
      </w:tr>
    </w:tbl>
    <w:p w14:paraId="2A147B76">
      <w:pPr>
        <w:pStyle w:val="3"/>
        <w:keepNext w:val="0"/>
        <w:keepLines w:val="0"/>
        <w:pageBreakBefore w:val="0"/>
        <w:widowControl w:val="0"/>
        <w:numPr>
          <w:ilvl w:val="-1"/>
          <w:numId w:val="0"/>
        </w:numPr>
        <w:kinsoku/>
        <w:wordWrap/>
        <w:overflowPunct/>
        <w:topLinePunct w:val="0"/>
        <w:autoSpaceDE/>
        <w:autoSpaceDN/>
        <w:bidi w:val="0"/>
        <w:adjustRightInd w:val="0"/>
        <w:snapToGrid/>
        <w:spacing w:before="0" w:beforeLines="0" w:after="0" w:afterLines="0"/>
        <w:ind w:left="0" w:leftChars="0" w:firstLine="643" w:firstLineChars="200"/>
        <w:jc w:val="both"/>
        <w:textAlignment w:val="auto"/>
        <w:outlineLvl w:val="0"/>
        <w:rPr>
          <w:rFonts w:hint="eastAsia"/>
          <w:sz w:val="32"/>
          <w:szCs w:val="32"/>
          <w:lang w:val="en-US" w:eastAsia="zh-CN"/>
        </w:rPr>
      </w:pPr>
      <w:bookmarkStart w:id="39" w:name="_Toc7341"/>
      <w:bookmarkStart w:id="40" w:name="_Toc8722"/>
      <w:bookmarkStart w:id="41" w:name="_Toc17689"/>
      <w:r>
        <w:rPr>
          <w:rFonts w:hint="eastAsia"/>
          <w:sz w:val="32"/>
          <w:szCs w:val="32"/>
          <w:lang w:val="en-US" w:eastAsia="zh-CN"/>
        </w:rPr>
        <w:t>第二节 健全安全治理体系，提升风险防控能力</w:t>
      </w:r>
      <w:bookmarkEnd w:id="39"/>
      <w:bookmarkEnd w:id="40"/>
      <w:bookmarkEnd w:id="41"/>
    </w:p>
    <w:p w14:paraId="31C01B40">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深化安全生产责任制。强化党政同责、一岗双责、齐抓共管、失职追责，完善优化对镇、街道、市直部门的综合考核体系中有关安全生产的指标，修订完善安全生产“一票否决”制度。及时厘清新产业、新业态、新商业模式监管职责，填补安全监管空白。规范生产安全事故纳统和事故调查，完善责任倒查机制。督促生产经营单位主要负责人严格落实安全生产第一责任人的法定职责，建立全员安全生产责任制，实现企业一线员工安全知识和应急处置培训率 100％。</w:t>
      </w:r>
    </w:p>
    <w:p w14:paraId="4AC1F402">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规范监管执法行为。深化应急管理综合执法能力建设，规范安全生产执法，健全分类分级执法和多部门多层级联动执法机制。严厉打击各类非法违法行为，落实行刑衔接、信用管理制度。推动安全生产监督管理标准化建设，制定重点行业领域安全生产行政检查指引。深入开展危险化学品、工贸、城镇燃气、道路运输、建筑施工、特种设备、消防等重点行业领域安全生产专项治理，持续深化电动自行车、动火作业、危险化学品等“一件事”全链条安全整治。建立与公安、交通、住建、消防、人社等部门信息即时通报机制，统一事故纳统标准，减少人为干扰，减轻基层负担。健全数据质量管控机制，每月开展安全形势研判，为决策提供精准支撑。</w:t>
      </w:r>
    </w:p>
    <w:p w14:paraId="11D3F08C">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聚焦重点领域安全生产治理。危化品领域全流程管控生产、储存、运输环节，实施老旧化工装置改造，推广智能管控，整治清退落后企业，完善跨部门协同，严管易制爆、剧毒化学品，打击非法行为。工贸行业紧盯金属冶炼、粉尘涉爆、锂电池生产等高风险场景，常态化隐患排查清零，推动高危岗位 “三化” 升级，加强特种作业人员培训，提升村级工业园本质安全。建设施工领域压实参建方责任，管控深基坑、高支模等危大工程，核查安全资质，推广智慧工地，规范自建房、零星作业，防范高处坠落事故。城镇燃气排查更新老旧管网设施，落实入户安检，完善全链条监管，强化隐患处置与泄漏监测。消防安全整治高层建筑、九小场所隐患，打通生命通道，升级老旧小区消防设施，规范电动自行车管理及人员密集场所动火审批。特种设备严管电梯、压力容器等，压实使用单位责任，推进智慧监管，查处违规作业，淘汰老旧高风险设备。针对平台、低空、海洋、新能源等新业态，常态化风险研判评估，明晰监管职责，填补监管短板，前置风险防控。</w:t>
      </w:r>
    </w:p>
    <w:p w14:paraId="6E20DD51">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938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center"/>
          </w:tcPr>
          <w:p w14:paraId="10140B2A">
            <w:pPr>
              <w:pStyle w:val="3"/>
              <w:keepNext w:val="0"/>
              <w:keepLines w:val="0"/>
              <w:pageBreakBefore w:val="0"/>
              <w:widowControl/>
              <w:numPr>
                <w:ilvl w:val="0"/>
                <w:numId w:val="0"/>
              </w:numPr>
              <w:kinsoku/>
              <w:wordWrap/>
              <w:overflowPunct/>
              <w:topLinePunct w:val="0"/>
              <w:autoSpaceDE/>
              <w:autoSpaceDN/>
              <w:bidi w:val="0"/>
              <w:adjustRightInd w:val="0"/>
              <w:snapToGrid/>
              <w:spacing w:before="0" w:beforeLines="0" w:after="0" w:afterLines="0"/>
              <w:jc w:val="center"/>
              <w:textAlignment w:val="auto"/>
              <w:outlineLvl w:val="9"/>
              <w:rPr>
                <w:rFonts w:hint="eastAsia" w:ascii="方正仿宋_GBK" w:hAnsi="方正仿宋_GBK" w:eastAsia="方正仿宋_GBK" w:cs="方正仿宋_GBK"/>
                <w:b/>
                <w:bCs/>
                <w:sz w:val="28"/>
                <w:szCs w:val="28"/>
              </w:rPr>
            </w:pPr>
            <w:r>
              <w:rPr>
                <w:rFonts w:hint="eastAsia" w:ascii="Times New Roman" w:hAnsi="Times New Roman" w:eastAsia="黑体" w:cs="Times New Roman"/>
                <w:b w:val="0"/>
                <w:bCs/>
                <w:caps w:val="0"/>
                <w:color w:val="auto"/>
                <w:kern w:val="0"/>
                <w:sz w:val="28"/>
                <w:szCs w:val="28"/>
                <w:highlight w:val="none"/>
                <w:lang w:val="en-US" w:eastAsia="zh-CN" w:bidi="ar"/>
              </w:rPr>
              <w:t>专栏3 安全生产治理与风险防控能力提升工程</w:t>
            </w:r>
          </w:p>
        </w:tc>
      </w:tr>
      <w:tr w14:paraId="114B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top"/>
          </w:tcPr>
          <w:p w14:paraId="54D8B31B">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水上安全治理提升项目。持续优化全市水上交通运输布局与安全设施，支持台山市横山渡口通过“建桥替代”或“公交接驳”等方式完成撤渡工作。此项举措旨在从根本上消除渡运这一传统高风险环节的安全隐患，切实改善沿岸人民群众的出行安全与便利条件，是提升区域交通运输本质安全水平的治本之策。</w:t>
            </w:r>
          </w:p>
          <w:p w14:paraId="3EC33135">
            <w:pPr>
              <w:pStyle w:val="11"/>
              <w:keepNext w:val="0"/>
              <w:keepLines w:val="0"/>
              <w:pageBreakBefore w:val="0"/>
              <w:widowControl/>
              <w:kinsoku/>
              <w:wordWrap/>
              <w:overflowPunct/>
              <w:topLinePunct w:val="0"/>
              <w:autoSpaceDE/>
              <w:autoSpaceDN/>
              <w:bidi w:val="0"/>
              <w:adjustRightInd w:val="0"/>
              <w:snapToGrid/>
              <w:textAlignment w:val="auto"/>
              <w:rPr>
                <w:rFonts w:hint="eastAsia" w:ascii="方正仿宋_GBK" w:hAnsi="方正仿宋_GBK" w:eastAsia="方正仿宋_GBK" w:cs="方正仿宋_GBK"/>
                <w:color w:val="000000"/>
                <w:sz w:val="28"/>
                <w:szCs w:val="28"/>
                <w:u w:val="single"/>
              </w:rPr>
            </w:pPr>
            <w:r>
              <w:rPr>
                <w:rFonts w:hint="eastAsia" w:ascii="仿宋_GB2312" w:hAnsi="仿宋_GB2312" w:eastAsia="仿宋_GB2312" w:cs="仿宋_GB2312"/>
                <w:color w:val="000000"/>
                <w:sz w:val="32"/>
                <w:szCs w:val="32"/>
                <w:lang w:val="en-US" w:eastAsia="zh-CN"/>
              </w:rPr>
              <w:t>江门广海湾化工新材料产业园区建设项目。推动在江门大广海湾经济区内，高起点、高标准规划与建设“江门广海湾化工新材料产业园区”。园区将重点发展高端化工新材料、电子化学品、绿色能源材料、高端精细化学品四大高新技术产业集群，通过严格执行“十有两禁”等安全准入与整治提升标准，打造一个布局集中、管理规范、本质安全、绿色高效的现代化工产业发展平台，从源头上优化产业布局并系统提升区域危化品领域的安全风险防控能力。</w:t>
            </w:r>
          </w:p>
        </w:tc>
      </w:tr>
    </w:tbl>
    <w:p w14:paraId="08EB8732">
      <w:pPr>
        <w:pStyle w:val="3"/>
        <w:keepNext w:val="0"/>
        <w:keepLines w:val="0"/>
        <w:pageBreakBefore w:val="0"/>
        <w:widowControl w:val="0"/>
        <w:numPr>
          <w:ilvl w:val="-1"/>
          <w:numId w:val="0"/>
        </w:numPr>
        <w:kinsoku/>
        <w:wordWrap/>
        <w:overflowPunct/>
        <w:topLinePunct w:val="0"/>
        <w:autoSpaceDE/>
        <w:autoSpaceDN/>
        <w:bidi w:val="0"/>
        <w:adjustRightInd w:val="0"/>
        <w:snapToGrid/>
        <w:spacing w:before="0" w:beforeLines="0" w:after="0" w:afterLines="0"/>
        <w:ind w:left="0" w:leftChars="0" w:firstLine="643" w:firstLineChars="200"/>
        <w:jc w:val="both"/>
        <w:textAlignment w:val="auto"/>
        <w:outlineLvl w:val="0"/>
        <w:rPr>
          <w:rFonts w:hint="eastAsia"/>
          <w:sz w:val="32"/>
          <w:szCs w:val="32"/>
          <w:lang w:val="en-US" w:eastAsia="zh-CN"/>
        </w:rPr>
      </w:pPr>
      <w:bookmarkStart w:id="42" w:name="_Toc27650"/>
      <w:bookmarkStart w:id="43" w:name="_Toc11570"/>
      <w:bookmarkStart w:id="44" w:name="_Toc17653"/>
      <w:r>
        <w:rPr>
          <w:rFonts w:hint="eastAsia"/>
          <w:sz w:val="32"/>
          <w:szCs w:val="32"/>
          <w:lang w:val="en-US" w:eastAsia="zh-CN"/>
        </w:rPr>
        <w:t>第三节 健全灾害防治体系，提升防灾救灾能力</w:t>
      </w:r>
      <w:bookmarkEnd w:id="42"/>
      <w:bookmarkEnd w:id="43"/>
      <w:bookmarkEnd w:id="44"/>
    </w:p>
    <w:p w14:paraId="6E5DB47C">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健全防灾减灾责任体系。持续推动“四级书记抓三防”，落实地方党委和政府防灾减灾救灾主体责任，按照“三管三必须”原则，“一件事”全链条细化明确行业部门在防汛抗洪、防震减灾、森林草原防灭火等方面的安全管理责任。严格规范开展自然灾害调查评估，及时发现和解决防灾减灾救灾能力建设中的问题和短板，对造成重大社会影响的自然灾害提级调查、挂牌督办，及时回应公众关切，举一反三抓好整改。</w:t>
      </w:r>
    </w:p>
    <w:p w14:paraId="07484871">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强化灾害风险源头防控。常态化运用自然灾害综合风险普查成果，开展台风、暴雨、内涝、地质灾害、森林火灾等全域风险排查，动态更新灾害风险隐患“一张图”。完善多部门协同监测预警和信息共享机制，严格落实防汛防旱防风行政首长负责制，强化值班值守与临灾响应，推动灾害防治从被动应对向事前预防转型。构建应急、气象、水利、水文、自然资源等多部门协同预警体系，推进信息共享、预警联动、指挥协同，全面提升自然灾害精准预警能力。</w:t>
      </w:r>
    </w:p>
    <w:p w14:paraId="1C602419">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完善预警叫应反馈机制。构建应急、气象、水利、水文、自然资源等多部门协同的预警体系，推进资源信息共享、预警响应联动、应急指挥协同，提升自然灾害预警能力。坚持将人员转移工作作为防灾减灾工作的重中之重，完善直达基层的预警“叫应”和跟踪反馈机制，加强施工工地和低洼地段、临坡临崖等部位群众转移，强化关停撤转等刚性措施，确保应转早转、应转尽转。</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082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center"/>
          </w:tcPr>
          <w:p w14:paraId="46ACE451">
            <w:pPr>
              <w:pStyle w:val="3"/>
              <w:keepNext w:val="0"/>
              <w:keepLines w:val="0"/>
              <w:pageBreakBefore w:val="0"/>
              <w:widowControl/>
              <w:numPr>
                <w:ilvl w:val="-1"/>
                <w:numId w:val="0"/>
              </w:numPr>
              <w:kinsoku/>
              <w:wordWrap/>
              <w:overflowPunct/>
              <w:topLinePunct w:val="0"/>
              <w:autoSpaceDE/>
              <w:autoSpaceDN/>
              <w:bidi w:val="0"/>
              <w:adjustRightInd w:val="0"/>
              <w:snapToGrid/>
              <w:spacing w:before="0" w:beforeLines="0" w:after="0" w:afterLines="0"/>
              <w:jc w:val="center"/>
              <w:textAlignment w:val="auto"/>
              <w:outlineLvl w:val="9"/>
              <w:rPr>
                <w:rFonts w:hint="eastAsia" w:ascii="方正仿宋_GBK" w:hAnsi="方正仿宋_GBK" w:eastAsia="方正仿宋_GBK" w:cs="方正仿宋_GBK"/>
                <w:b/>
                <w:bCs/>
                <w:sz w:val="28"/>
                <w:szCs w:val="28"/>
              </w:rPr>
            </w:pPr>
            <w:r>
              <w:rPr>
                <w:rFonts w:hint="eastAsia" w:ascii="Times New Roman" w:hAnsi="Times New Roman" w:eastAsia="黑体" w:cs="Times New Roman"/>
                <w:b w:val="0"/>
                <w:bCs/>
                <w:caps w:val="0"/>
                <w:color w:val="auto"/>
                <w:kern w:val="0"/>
                <w:sz w:val="28"/>
                <w:szCs w:val="28"/>
                <w:highlight w:val="none"/>
                <w:lang w:val="en-US" w:eastAsia="zh-CN" w:bidi="ar"/>
              </w:rPr>
              <w:t>专栏4 灾害防御与应对能力提升工程</w:t>
            </w:r>
          </w:p>
        </w:tc>
      </w:tr>
      <w:tr w14:paraId="69FD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top"/>
          </w:tcPr>
          <w:p w14:paraId="0111215C">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台山人工引雷试验场建设项目。对接国家、省气象局重大科研项目，在台山冲蒌镇伞塘村建设国际先进的人工引雷试验场，打造国家级雷电野外科学观测与研究平台。该项目将极大提升对雷暴起电、放电物理过程的科学认知与实验能力，为发展精准雷电预警防护技术、保障能源、航天、通信等关键领域安全提供核心科技支撑。</w:t>
            </w:r>
          </w:p>
          <w:p w14:paraId="1B519DEC">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江海堤防达标加固项目。扎实推进江门市海堤建设工程，重点完成台山市川岛片海堤的达标加固工程，显著提升沿海重点防护区域的防潮抗浪工程标准，构筑抵御风暴潮和洪涝灾害的坚固防线，保护人民生命财产安全与沿海经济社会可持续发展成果。</w:t>
            </w:r>
          </w:p>
          <w:p w14:paraId="4B5FCE13">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水库水闸除险加固(重/扩建)项目。推动实施台山市大坑水库扩建工程，并对台山市烽火角、茭勒等病险水闸进行重建或加固。通过提升水利枢纽的调蓄能力和自身安全标准，系统性增强区域水资源统筹配置能力与防洪减灾工程体系韧性，筑牢水旱灾害防御的坚实基础。</w:t>
            </w:r>
          </w:p>
          <w:p w14:paraId="39E2D68B">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海洋牧场保障项目。在台山市海域主要航道建设配套航标，并在台山一号养殖平台、上川大襟岛、下川北风湾角等关键地点新建17个气象自动观测站。此举旨在构建覆盖海洋牧场及周边海域的立体化观测预警网络，为蓬勃发展的海洋牧场、海上风电、海上交通运输等提供精准及时的气象海洋预警服务和安全的航行保障，支撑海洋经济行稳致远。</w:t>
            </w:r>
          </w:p>
          <w:p w14:paraId="20EA71E0">
            <w:pPr>
              <w:pStyle w:val="11"/>
              <w:keepNext w:val="0"/>
              <w:keepLines w:val="0"/>
              <w:pageBreakBefore w:val="0"/>
              <w:widowControl/>
              <w:kinsoku/>
              <w:wordWrap/>
              <w:overflowPunct/>
              <w:topLinePunct w:val="0"/>
              <w:autoSpaceDE/>
              <w:autoSpaceDN/>
              <w:bidi w:val="0"/>
              <w:adjustRightInd w:val="0"/>
              <w:snapToGrid/>
              <w:textAlignment w:val="auto"/>
              <w:rPr>
                <w:rFonts w:hint="eastAsia" w:ascii="方正仿宋_GBK" w:hAnsi="方正仿宋_GBK" w:eastAsia="方正仿宋_GBK" w:cs="方正仿宋_GBK"/>
                <w:color w:val="000000"/>
                <w:sz w:val="28"/>
                <w:szCs w:val="28"/>
                <w:u w:val="single"/>
              </w:rPr>
            </w:pPr>
            <w:r>
              <w:rPr>
                <w:rFonts w:hint="eastAsia" w:ascii="仿宋_GB2312" w:hAnsi="仿宋_GB2312" w:eastAsia="仿宋_GB2312" w:cs="仿宋_GB2312"/>
                <w:color w:val="000000"/>
                <w:sz w:val="32"/>
                <w:szCs w:val="32"/>
                <w:lang w:val="en-US" w:eastAsia="zh-CN"/>
              </w:rPr>
              <w:t>林区应急防火道路与林火阻隔系统建设项目。在台山市重点林区新建与改造25.6公里森林防火应急道路，提升救援力量与重型装备的快速通达能力；同时，在重要目标、居民点周边及山脚田边地带新建13公里生物防火林带。通过“疏通血脉、构筑屏障”的工程结合，构建“主动预防、快速阻隔”的森林火灾防控基础设施网络，有效降低火灾蔓延风险，为火灾扑救创造有利条件。</w:t>
            </w:r>
          </w:p>
        </w:tc>
      </w:tr>
    </w:tbl>
    <w:p w14:paraId="2ABE6131">
      <w:pPr>
        <w:pStyle w:val="11"/>
        <w:rPr>
          <w:rStyle w:val="22"/>
          <w:rFonts w:hint="eastAsia" w:ascii="方正仿宋_GBK" w:hAnsi="方正仿宋_GBK" w:eastAsia="方正仿宋_GBK" w:cs="方正仿宋_GBK"/>
          <w:b w:val="0"/>
          <w:bCs/>
          <w:color w:val="000000"/>
          <w:kern w:val="0"/>
          <w:sz w:val="36"/>
          <w:szCs w:val="36"/>
          <w:lang w:val="en-US" w:eastAsia="zh-CN" w:bidi="ar"/>
        </w:rPr>
      </w:pPr>
    </w:p>
    <w:p w14:paraId="57089DE5">
      <w:pPr>
        <w:pStyle w:val="3"/>
        <w:keepNext w:val="0"/>
        <w:keepLines w:val="0"/>
        <w:pageBreakBefore w:val="0"/>
        <w:widowControl w:val="0"/>
        <w:numPr>
          <w:ilvl w:val="-1"/>
          <w:numId w:val="0"/>
        </w:numPr>
        <w:kinsoku/>
        <w:wordWrap/>
        <w:overflowPunct/>
        <w:topLinePunct w:val="0"/>
        <w:autoSpaceDE/>
        <w:autoSpaceDN/>
        <w:bidi w:val="0"/>
        <w:adjustRightInd w:val="0"/>
        <w:snapToGrid/>
        <w:spacing w:before="0" w:beforeLines="0" w:after="0" w:afterLines="0"/>
        <w:ind w:left="0" w:leftChars="0" w:firstLine="643" w:firstLineChars="200"/>
        <w:jc w:val="both"/>
        <w:textAlignment w:val="auto"/>
        <w:outlineLvl w:val="0"/>
        <w:rPr>
          <w:rFonts w:hint="eastAsia"/>
          <w:sz w:val="32"/>
          <w:szCs w:val="32"/>
          <w:lang w:val="en-US" w:eastAsia="zh-CN"/>
        </w:rPr>
      </w:pPr>
      <w:bookmarkStart w:id="45" w:name="_Toc171"/>
      <w:bookmarkStart w:id="46" w:name="_Toc32765"/>
      <w:bookmarkStart w:id="47" w:name="_Toc27338"/>
      <w:r>
        <w:rPr>
          <w:rFonts w:hint="eastAsia"/>
          <w:sz w:val="32"/>
          <w:szCs w:val="32"/>
          <w:lang w:val="en-US" w:eastAsia="zh-CN"/>
        </w:rPr>
        <w:t>第四节 健全应急救援体系，提升应急处置能力</w:t>
      </w:r>
      <w:bookmarkEnd w:id="45"/>
      <w:bookmarkEnd w:id="46"/>
      <w:bookmarkEnd w:id="47"/>
    </w:p>
    <w:p w14:paraId="617A1801">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建强专业救援队伍。建强专常兼备应急救援力量体系。立足“全灾种、大应急”救援需求，构建以综合性消防救援队伍为主力、专业救援队伍为骨干、基层应急队伍为基础、社会力量为补充的救援力量体系。深化“应消合一”一体化运行，整合基层应急、消防、三防、森防等救援职能，建强街道、村（社区）应急救援“一支队伍”，实现一队多能、防救一体、快速响应。</w:t>
      </w:r>
    </w:p>
    <w:p w14:paraId="0A2F3AB5">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强化应急科技支撑。实施应急装备升级换代与创新发展行动，分级分类更新配备标准，重点强化应对极端场景的大型、专业及“高精特专”“小快轻智”装备配备。加强无人机、救援机器人、卫星通信、智能监测等先进适用装备配置与应用。推动物联网、人工智能、大数据等技术在应急物资管理、避难场所运维和救援指挥中的深度应用，提升保障智慧化水平。</w:t>
      </w:r>
    </w:p>
    <w:p w14:paraId="69914B2F">
      <w:pPr>
        <w:pStyle w:val="11"/>
        <w:keepNext w:val="0"/>
        <w:keepLines w:val="0"/>
        <w:pageBreakBefore w:val="0"/>
        <w:widowControl/>
        <w:kinsoku/>
        <w:wordWrap/>
        <w:overflowPunct/>
        <w:topLinePunct w:val="0"/>
        <w:autoSpaceDE/>
        <w:autoSpaceDN/>
        <w:bidi w:val="0"/>
        <w:adjustRightInd w:val="0"/>
        <w:snapToGrid/>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深化区域协同合作。健全与周边地区应急协同机制，强化在跨区域应急救援、风险监测预警、物资储备共享等方面的合作。针对台风、流域洪水等跨界灾害，以及化工园区事故、高层建筑火灾等极端场景，联合开展专项演练，依托情景库与数字模型实施全要素实战化训练，通过演练完善信息互通、力量互援、物资互调的协同机制，加强专业队伍在复杂灾害下的处置磨合，全面提升区域协同响应与应急处置效能。</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053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center"/>
          </w:tcPr>
          <w:p w14:paraId="7C1B7125">
            <w:pPr>
              <w:pStyle w:val="3"/>
              <w:keepNext w:val="0"/>
              <w:keepLines w:val="0"/>
              <w:pageBreakBefore w:val="0"/>
              <w:widowControl/>
              <w:numPr>
                <w:ilvl w:val="-1"/>
                <w:numId w:val="0"/>
              </w:numPr>
              <w:kinsoku/>
              <w:wordWrap/>
              <w:overflowPunct/>
              <w:topLinePunct w:val="0"/>
              <w:autoSpaceDE/>
              <w:autoSpaceDN/>
              <w:bidi w:val="0"/>
              <w:adjustRightInd w:val="0"/>
              <w:snapToGrid/>
              <w:spacing w:before="0" w:beforeLines="0" w:after="0" w:afterLines="0"/>
              <w:jc w:val="center"/>
              <w:textAlignment w:val="auto"/>
              <w:outlineLvl w:val="9"/>
              <w:rPr>
                <w:rFonts w:hint="eastAsia" w:ascii="方正仿宋_GBK" w:hAnsi="方正仿宋_GBK" w:eastAsia="方正仿宋_GBK" w:cs="方正仿宋_GBK"/>
                <w:b/>
                <w:bCs/>
                <w:sz w:val="28"/>
                <w:szCs w:val="28"/>
              </w:rPr>
            </w:pPr>
            <w:r>
              <w:rPr>
                <w:rFonts w:hint="eastAsia" w:ascii="Times New Roman" w:hAnsi="Times New Roman" w:eastAsia="黑体" w:cs="Times New Roman"/>
                <w:b w:val="0"/>
                <w:bCs/>
                <w:caps w:val="0"/>
                <w:color w:val="auto"/>
                <w:kern w:val="0"/>
                <w:sz w:val="28"/>
                <w:szCs w:val="28"/>
                <w:highlight w:val="none"/>
                <w:lang w:val="en-US" w:eastAsia="zh-CN" w:bidi="ar"/>
              </w:rPr>
              <w:t>专栏5 应急救援与保障能力提升工程</w:t>
            </w:r>
          </w:p>
        </w:tc>
      </w:tr>
      <w:tr w14:paraId="17B5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top"/>
          </w:tcPr>
          <w:p w14:paraId="3C38824E">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方正仿宋_GBK" w:hAnsi="方正仿宋_GBK" w:eastAsia="方正仿宋_GBK" w:cs="方正仿宋_GBK"/>
                <w:color w:val="000000"/>
                <w:sz w:val="28"/>
                <w:szCs w:val="28"/>
                <w:u w:val="single"/>
              </w:rPr>
            </w:pPr>
            <w:r>
              <w:rPr>
                <w:rFonts w:hint="eastAsia" w:ascii="仿宋_GB2312" w:hAnsi="仿宋_GB2312" w:eastAsia="仿宋_GB2312" w:cs="仿宋_GB2312"/>
                <w:color w:val="000000"/>
                <w:sz w:val="32"/>
                <w:szCs w:val="32"/>
                <w:lang w:val="en-US" w:eastAsia="zh-CN"/>
              </w:rPr>
              <w:t>三级救援队伍建设项目。全面强化“市级专业森林消防队伍、镇街半专业扑火队、乡村应急队”三级基层救援力量体系，按标准配齐扑火、防汛、抢险救援等专业化装备。重点依托沿海渔港，组建具备快速响应能力的渔港志愿救援专班，配备冲锋舟、岸基通讯中继等装备，旨在构建覆盖城乡、专常兼备、立足初期的基层应急救援网络，特别是补齐海上、山岳等特殊环境下的初期自救互救能力短板，确保灾害事故发生后能第一时间有效控制事态、减少损失。</w:t>
            </w:r>
          </w:p>
        </w:tc>
      </w:tr>
    </w:tbl>
    <w:p w14:paraId="4321F8D7">
      <w:pPr>
        <w:pStyle w:val="3"/>
        <w:keepNext w:val="0"/>
        <w:keepLines w:val="0"/>
        <w:pageBreakBefore w:val="0"/>
        <w:widowControl w:val="0"/>
        <w:numPr>
          <w:ilvl w:val="-1"/>
          <w:numId w:val="0"/>
        </w:numPr>
        <w:kinsoku/>
        <w:wordWrap/>
        <w:overflowPunct/>
        <w:topLinePunct w:val="0"/>
        <w:autoSpaceDE/>
        <w:autoSpaceDN/>
        <w:bidi w:val="0"/>
        <w:adjustRightInd w:val="0"/>
        <w:snapToGrid/>
        <w:spacing w:before="0" w:beforeLines="0" w:after="0" w:afterLines="0"/>
        <w:ind w:left="0" w:leftChars="0" w:firstLine="643" w:firstLineChars="200"/>
        <w:jc w:val="both"/>
        <w:textAlignment w:val="auto"/>
        <w:outlineLvl w:val="0"/>
        <w:rPr>
          <w:rFonts w:hint="eastAsia"/>
          <w:sz w:val="32"/>
          <w:szCs w:val="32"/>
          <w:lang w:val="en-US" w:eastAsia="zh-CN"/>
        </w:rPr>
      </w:pPr>
      <w:bookmarkStart w:id="48" w:name="_Toc20694"/>
      <w:bookmarkStart w:id="49" w:name="_Toc27224"/>
      <w:bookmarkStart w:id="50" w:name="_Toc23226"/>
    </w:p>
    <w:p w14:paraId="457B8664">
      <w:pPr>
        <w:pStyle w:val="3"/>
        <w:keepNext w:val="0"/>
        <w:keepLines w:val="0"/>
        <w:pageBreakBefore w:val="0"/>
        <w:widowControl w:val="0"/>
        <w:numPr>
          <w:ilvl w:val="-1"/>
          <w:numId w:val="0"/>
        </w:numPr>
        <w:kinsoku/>
        <w:wordWrap/>
        <w:overflowPunct/>
        <w:topLinePunct w:val="0"/>
        <w:autoSpaceDE/>
        <w:autoSpaceDN/>
        <w:bidi w:val="0"/>
        <w:adjustRightInd w:val="0"/>
        <w:snapToGrid/>
        <w:spacing w:before="0" w:beforeLines="0" w:after="0" w:afterLines="0"/>
        <w:ind w:left="0" w:leftChars="0" w:firstLine="643" w:firstLineChars="200"/>
        <w:jc w:val="both"/>
        <w:textAlignment w:val="auto"/>
        <w:outlineLvl w:val="0"/>
        <w:rPr>
          <w:rFonts w:hint="eastAsia"/>
          <w:sz w:val="32"/>
          <w:szCs w:val="32"/>
          <w:lang w:val="en-US" w:eastAsia="zh-CN"/>
        </w:rPr>
      </w:pPr>
      <w:r>
        <w:rPr>
          <w:rFonts w:hint="eastAsia"/>
          <w:sz w:val="32"/>
          <w:szCs w:val="32"/>
          <w:lang w:val="en-US" w:eastAsia="zh-CN"/>
        </w:rPr>
        <w:t>第五节 完善基层基础体系，打通“最后一公里”</w:t>
      </w:r>
      <w:bookmarkEnd w:id="48"/>
      <w:bookmarkEnd w:id="49"/>
      <w:bookmarkEnd w:id="50"/>
    </w:p>
    <w:p w14:paraId="12EB0303">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理顺基层应急管理体制。以镇（街道）为核心，统筹应急管理与消防安全工作，将其深度融入基层网格化管理服务体系。明晰镇（街道）应急管理办公室、消防救援机构及相关议事协调机构的权责边界，制定并公布基层应急管理权责清单。全面推进综合性“应急消防服务站”建设，以此为平台整合基层力量，打造“应消合一、防救一体、一队多能”的综合性救援队伍。压实村（居）责任，为每个村（居）明确并培训至少1名“应急第一响应人”，负责本区域的常态巡查、灾情速报和初期应对，实现隐患与风险“发现-报告-处置-反馈”的闭环管理。</w:t>
      </w:r>
    </w:p>
    <w:p w14:paraId="2F278FF7">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夯实基层防灾减灾基础。全面推进行政村（社区）防灾减灾能力标准化建设。完善乡镇（街道）“一图五表”和村社“一页纸”预案体系，使其更加实用、管用。加强基层干部群众灾害识别、风险防范与应急避险能力培训。充分发挥应急消防服务站的支点作用，统筹建强事前风险预防与事发应急处置的基础力量。</w:t>
      </w:r>
    </w:p>
    <w:p w14:paraId="611241CA">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壮大基层综合应急力量。拓宽专业力量来源，通过公务员考录、设置特设岗位、妥善安置退出消防员等方式予以补充和强化。完善基层应急队伍的职业保障与激励机制。加快推进乡镇应急消防站建设。有效动员和组织民兵、志愿者、物业管理人员等社会力量，构建“专业力量为主、志愿力量为辅、优势互补”的基层应急救援力量体系。</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443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center"/>
          </w:tcPr>
          <w:p w14:paraId="6A35B705">
            <w:pPr>
              <w:pStyle w:val="3"/>
              <w:keepNext w:val="0"/>
              <w:keepLines w:val="0"/>
              <w:pageBreakBefore w:val="0"/>
              <w:widowControl/>
              <w:numPr>
                <w:ilvl w:val="-1"/>
                <w:numId w:val="0"/>
              </w:numPr>
              <w:kinsoku/>
              <w:wordWrap/>
              <w:overflowPunct/>
              <w:topLinePunct w:val="0"/>
              <w:autoSpaceDE/>
              <w:autoSpaceDN/>
              <w:bidi w:val="0"/>
              <w:adjustRightInd w:val="0"/>
              <w:snapToGrid/>
              <w:spacing w:before="0" w:beforeLines="0" w:after="0" w:afterLines="0"/>
              <w:ind w:firstLine="0" w:firstLineChars="0"/>
              <w:jc w:val="center"/>
              <w:textAlignment w:val="auto"/>
              <w:outlineLvl w:val="9"/>
              <w:rPr>
                <w:rFonts w:hint="eastAsia" w:ascii="方正仿宋_GBK" w:hAnsi="方正仿宋_GBK" w:eastAsia="方正仿宋_GBK" w:cs="方正仿宋_GBK"/>
                <w:b/>
                <w:bCs/>
                <w:sz w:val="28"/>
                <w:szCs w:val="28"/>
              </w:rPr>
            </w:pPr>
            <w:r>
              <w:rPr>
                <w:rFonts w:hint="eastAsia" w:ascii="Times New Roman" w:hAnsi="Times New Roman" w:eastAsia="黑体" w:cs="Times New Roman"/>
                <w:b w:val="0"/>
                <w:bCs/>
                <w:caps w:val="0"/>
                <w:color w:val="auto"/>
                <w:kern w:val="0"/>
                <w:sz w:val="28"/>
                <w:szCs w:val="28"/>
                <w:highlight w:val="none"/>
                <w:lang w:val="en-US" w:eastAsia="zh-CN" w:bidi="ar"/>
              </w:rPr>
              <w:t>专栏6 基层基础能力提升工程</w:t>
            </w:r>
          </w:p>
        </w:tc>
      </w:tr>
      <w:tr w14:paraId="10F4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top"/>
          </w:tcPr>
          <w:p w14:paraId="5076EBA6">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基层应急消防服务站全覆盖建设项目。在全市各镇（街）全面推进“应急消防服务站”标准化建设，并因地制宜推动基层应急管理办公室与消防救援所深度融合，组建“防救一体、一队多能”的基层应急救援“一支队伍”。此举旨在夯实应急管理“最后一公里”的组织基础和实体力量，实现风险防范、安全宣传、先期处置、人员转移等职能在基层的有效整合与落地。</w:t>
            </w:r>
          </w:p>
          <w:p w14:paraId="40171F95">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方正仿宋_GBK" w:hAnsi="方正仿宋_GBK" w:eastAsia="方正仿宋_GBK" w:cs="方正仿宋_GBK"/>
                <w:color w:val="000000"/>
                <w:sz w:val="28"/>
                <w:szCs w:val="28"/>
                <w:u w:val="single"/>
              </w:rPr>
            </w:pPr>
            <w:r>
              <w:rPr>
                <w:rFonts w:hint="eastAsia" w:ascii="仿宋_GB2312" w:hAnsi="仿宋_GB2312" w:eastAsia="仿宋_GB2312" w:cs="仿宋_GB2312"/>
                <w:color w:val="000000"/>
                <w:sz w:val="32"/>
                <w:szCs w:val="32"/>
                <w:lang w:val="en-US" w:eastAsia="zh-CN"/>
              </w:rPr>
              <w:t>社区（村）应急能力标准化提升项目。全面完成所有村（社区）应急物资仓库的规范化建设与物资标配，并推动每个村（社区）制定或修订简明易懂、操作性强的“一页纸”应急预案。同时，推广配备便携式卫星电话、手持应急广播等“小、快、轻、智”的应急装备，实质性提升基层单位在灾害面前的自主保障、快速预警、组织转移和先期处置能力，筑牢“镇自为战、村自为战”的防灾减灾救灾人民防线。</w:t>
            </w:r>
          </w:p>
        </w:tc>
      </w:tr>
    </w:tbl>
    <w:p w14:paraId="4503119C">
      <w:pPr>
        <w:pStyle w:val="11"/>
        <w:keepNext w:val="0"/>
        <w:keepLines w:val="0"/>
        <w:widowControl/>
        <w:suppressLineNumbers w:val="0"/>
        <w:jc w:val="left"/>
        <w:rPr>
          <w:rStyle w:val="26"/>
          <w:rFonts w:hint="eastAsia" w:ascii="方正仿宋_GBK" w:hAnsi="方正仿宋_GBK" w:eastAsia="方正仿宋_GBK" w:cs="方正仿宋_GBK"/>
          <w:kern w:val="0"/>
          <w:sz w:val="32"/>
          <w:szCs w:val="32"/>
          <w:lang w:val="en-US" w:eastAsia="zh-CN" w:bidi="ar"/>
        </w:rPr>
      </w:pPr>
    </w:p>
    <w:p w14:paraId="48C14EC3">
      <w:pPr>
        <w:pStyle w:val="3"/>
        <w:keepNext w:val="0"/>
        <w:keepLines w:val="0"/>
        <w:pageBreakBefore w:val="0"/>
        <w:widowControl w:val="0"/>
        <w:numPr>
          <w:ilvl w:val="-1"/>
          <w:numId w:val="0"/>
        </w:numPr>
        <w:kinsoku/>
        <w:wordWrap/>
        <w:overflowPunct/>
        <w:topLinePunct w:val="0"/>
        <w:autoSpaceDE/>
        <w:autoSpaceDN/>
        <w:bidi w:val="0"/>
        <w:adjustRightInd w:val="0"/>
        <w:snapToGrid/>
        <w:spacing w:before="0" w:beforeLines="0" w:after="0" w:afterLines="0"/>
        <w:ind w:left="0" w:leftChars="0" w:firstLine="643" w:firstLineChars="200"/>
        <w:jc w:val="both"/>
        <w:textAlignment w:val="auto"/>
        <w:outlineLvl w:val="0"/>
        <w:rPr>
          <w:rFonts w:hint="eastAsia"/>
          <w:sz w:val="32"/>
          <w:szCs w:val="32"/>
          <w:lang w:val="en-US" w:eastAsia="zh-CN"/>
        </w:rPr>
      </w:pPr>
      <w:bookmarkStart w:id="51" w:name="_Toc30431"/>
      <w:bookmarkStart w:id="52" w:name="_Toc28208"/>
      <w:bookmarkStart w:id="53" w:name="_Toc1357"/>
      <w:r>
        <w:rPr>
          <w:rFonts w:hint="eastAsia"/>
          <w:sz w:val="32"/>
          <w:szCs w:val="32"/>
          <w:lang w:val="en-US" w:eastAsia="zh-CN"/>
        </w:rPr>
        <w:t>第六节 健全多元共治体系，提升社会动员能力</w:t>
      </w:r>
      <w:bookmarkEnd w:id="51"/>
      <w:bookmarkEnd w:id="52"/>
      <w:bookmarkEnd w:id="53"/>
    </w:p>
    <w:p w14:paraId="52D10BB0">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加强宣教培育安全文化。整合线上线下资源，创新手段渠道，深入开展从业人员特别是高危行业人员安全教育，持续推进安全宣传“五进”活动。办好“安全生产大家谈”等品牌栏目，利用安全生产月、防灾减灾周等重要节点加强公益宣传。实施科普精品工程，编制分类读本与短视频，通过基层网络广泛传播，营造“人人讲安全、个个会应急”的社会氛围。</w:t>
      </w:r>
    </w:p>
    <w:p w14:paraId="5F144053">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健全风险分担机制。积极推动市场主体参与，建立健全自然灾害和安全生产保险体系。大力推广巨灾保险、安全生产责任险及灾害民生保险，完善“基本险+补充险”分层保障模式，扩大重点行业覆盖。优化重大事故快速理赔与预赔付机制，提升保险机构风险减量服务能力，强化金融保险在灾害救助与事故预防中的支撑作用。</w:t>
      </w:r>
    </w:p>
    <w:p w14:paraId="791934DE">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发挥市场与行业作用。健全应急管理社会化服务机制，完善政府购买服务清单，推广“专家下基层”、在线问诊等模式，引导专业机构提供风险排查、评估与研发服务，并建立服务机构考评与淘汰机制。强化行业协会在标准制定、技术交流和人员培训等方面的自律作用，组织企业开展安全管理经验交流，引导企业自觉落实主体责任。</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948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center"/>
          </w:tcPr>
          <w:p w14:paraId="4AF3DED8">
            <w:pPr>
              <w:pStyle w:val="3"/>
              <w:keepNext w:val="0"/>
              <w:keepLines w:val="0"/>
              <w:pageBreakBefore w:val="0"/>
              <w:widowControl/>
              <w:numPr>
                <w:ilvl w:val="-1"/>
                <w:numId w:val="0"/>
              </w:numPr>
              <w:kinsoku/>
              <w:wordWrap/>
              <w:overflowPunct/>
              <w:topLinePunct w:val="0"/>
              <w:autoSpaceDE/>
              <w:autoSpaceDN/>
              <w:bidi w:val="0"/>
              <w:adjustRightInd w:val="0"/>
              <w:snapToGrid/>
              <w:spacing w:before="0" w:beforeLines="0" w:after="0" w:afterLines="0"/>
              <w:ind w:firstLine="0" w:firstLineChars="0"/>
              <w:jc w:val="center"/>
              <w:textAlignment w:val="auto"/>
              <w:outlineLvl w:val="9"/>
              <w:rPr>
                <w:rFonts w:hint="eastAsia" w:ascii="方正仿宋_GBK" w:hAnsi="方正仿宋_GBK" w:eastAsia="方正仿宋_GBK" w:cs="方正仿宋_GBK"/>
                <w:b/>
                <w:bCs/>
                <w:sz w:val="28"/>
                <w:szCs w:val="28"/>
              </w:rPr>
            </w:pPr>
            <w:r>
              <w:rPr>
                <w:rFonts w:hint="eastAsia" w:ascii="Times New Roman" w:hAnsi="Times New Roman" w:eastAsia="黑体" w:cs="Times New Roman"/>
                <w:b w:val="0"/>
                <w:bCs/>
                <w:caps w:val="0"/>
                <w:color w:val="auto"/>
                <w:kern w:val="0"/>
                <w:sz w:val="28"/>
                <w:szCs w:val="28"/>
                <w:highlight w:val="none"/>
                <w:lang w:val="en-US" w:eastAsia="zh-CN" w:bidi="ar"/>
              </w:rPr>
              <w:t>专栏7  社会共治能力筑牢工程</w:t>
            </w:r>
          </w:p>
        </w:tc>
      </w:tr>
      <w:tr w14:paraId="3269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tcBorders>
              <w:top w:val="single" w:color="auto" w:sz="4" w:space="0"/>
              <w:left w:val="single" w:color="auto" w:sz="4" w:space="0"/>
              <w:bottom w:val="single" w:color="auto" w:sz="4" w:space="0"/>
              <w:right w:val="single" w:color="auto" w:sz="4" w:space="0"/>
            </w:tcBorders>
            <w:noWrap w:val="0"/>
            <w:tcMar>
              <w:top w:w="-1" w:type="dxa"/>
              <w:left w:w="108" w:type="dxa"/>
              <w:bottom w:w="-1" w:type="dxa"/>
              <w:right w:w="108" w:type="dxa"/>
            </w:tcMar>
            <w:vAlign w:val="top"/>
          </w:tcPr>
          <w:p w14:paraId="711FC714">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方正仿宋_GBK" w:hAnsi="方正仿宋_GBK" w:eastAsia="方正仿宋_GBK" w:cs="方正仿宋_GBK"/>
                <w:color w:val="000000"/>
                <w:sz w:val="28"/>
                <w:szCs w:val="28"/>
                <w:u w:val="single"/>
              </w:rPr>
            </w:pPr>
            <w:r>
              <w:rPr>
                <w:rFonts w:hint="eastAsia" w:ascii="仿宋_GB2312" w:hAnsi="仿宋_GB2312" w:eastAsia="仿宋_GB2312" w:cs="仿宋_GB2312"/>
                <w:color w:val="000000"/>
                <w:sz w:val="32"/>
                <w:szCs w:val="32"/>
                <w:lang w:val="en-US" w:eastAsia="zh-CN"/>
              </w:rPr>
              <w:t>安全应急科普与“第一响应人”队伍壮大项目。推动建设面向公众的安全应急科普实训基地，并持续深化安全宣传“五进”工作。大规模培训发展覆盖城乡社区的“应急第一响应人”队伍，配套必要的个人防护与急救装备，广泛普及自救互救技能。通过提升全民安全素养和初期响应能力，构建人人有责、人人尽责、人人享有的应急管理社会共治格局。</w:t>
            </w:r>
          </w:p>
        </w:tc>
      </w:tr>
    </w:tbl>
    <w:p w14:paraId="4301DF94">
      <w:pPr>
        <w:pStyle w:val="2"/>
        <w:numPr>
          <w:ilvl w:val="-1"/>
          <w:numId w:val="0"/>
        </w:numPr>
        <w:spacing w:before="320" w:beforeLines="-2147483648" w:after="0" w:afterLines="-2147483648" w:line="300" w:lineRule="auto"/>
        <w:ind w:firstLine="2880" w:firstLineChars="900"/>
        <w:jc w:val="both"/>
        <w:rPr>
          <w:rFonts w:hint="default" w:ascii="Times New Roman" w:hAnsi="Times New Roman" w:eastAsia="黑体" w:cs="Times New Roman"/>
          <w:b w:val="0"/>
          <w:bCs w:val="0"/>
          <w:sz w:val="32"/>
          <w:szCs w:val="32"/>
        </w:rPr>
      </w:pPr>
      <w:bookmarkStart w:id="54" w:name="_Toc12714"/>
      <w:bookmarkStart w:id="55" w:name="_Toc8156"/>
      <w:bookmarkStart w:id="56" w:name="_Toc32658"/>
      <w:r>
        <w:rPr>
          <w:rFonts w:hint="default" w:ascii="Times New Roman" w:hAnsi="Times New Roman" w:eastAsia="黑体" w:cs="Times New Roman"/>
          <w:b w:val="0"/>
          <w:bCs w:val="0"/>
          <w:sz w:val="32"/>
          <w:szCs w:val="32"/>
          <w:lang w:val="en-US" w:eastAsia="zh-CN"/>
        </w:rPr>
        <w:t xml:space="preserve">第三章 </w:t>
      </w:r>
      <w:bookmarkEnd w:id="36"/>
      <w:bookmarkEnd w:id="37"/>
      <w:bookmarkEnd w:id="38"/>
      <w:bookmarkEnd w:id="54"/>
      <w:bookmarkEnd w:id="55"/>
      <w:bookmarkStart w:id="57" w:name="_Toc28103"/>
      <w:bookmarkStart w:id="58" w:name="_Toc66697177"/>
      <w:bookmarkStart w:id="59" w:name="_Toc32689"/>
      <w:bookmarkStart w:id="60" w:name="_Toc2371"/>
      <w:bookmarkStart w:id="61" w:name="_Toc50632678"/>
      <w:r>
        <w:rPr>
          <w:rFonts w:hint="default" w:ascii="Times New Roman" w:hAnsi="Times New Roman" w:eastAsia="黑体" w:cs="Times New Roman"/>
          <w:b w:val="0"/>
          <w:bCs w:val="0"/>
          <w:sz w:val="32"/>
          <w:szCs w:val="32"/>
        </w:rPr>
        <w:t>保障措施</w:t>
      </w:r>
      <w:bookmarkEnd w:id="56"/>
      <w:bookmarkEnd w:id="57"/>
      <w:bookmarkEnd w:id="58"/>
      <w:bookmarkEnd w:id="59"/>
      <w:bookmarkEnd w:id="60"/>
      <w:bookmarkEnd w:id="61"/>
      <w:bookmarkStart w:id="62" w:name="_Toc9800"/>
      <w:bookmarkStart w:id="63" w:name="_Toc66697178"/>
    </w:p>
    <w:bookmarkEnd w:id="13"/>
    <w:bookmarkEnd w:id="62"/>
    <w:bookmarkEnd w:id="63"/>
    <w:p w14:paraId="05A5AEFE">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bookmarkStart w:id="64" w:name="_Toc13738"/>
      <w:bookmarkStart w:id="65" w:name="_Toc1152"/>
      <w:bookmarkStart w:id="66" w:name="_Toc2930"/>
      <w:bookmarkStart w:id="67" w:name="_Toc21669"/>
      <w:bookmarkStart w:id="68" w:name="_Toc7736"/>
      <w:bookmarkStart w:id="69" w:name="_Toc19425"/>
      <w:r>
        <w:rPr>
          <w:rFonts w:hint="eastAsia" w:ascii="仿宋_GB2312" w:hAnsi="仿宋_GB2312" w:eastAsia="仿宋_GB2312" w:cs="仿宋_GB2312"/>
          <w:color w:val="000000"/>
          <w:sz w:val="32"/>
          <w:szCs w:val="32"/>
          <w:lang w:val="en-US" w:eastAsia="zh-CN"/>
        </w:rPr>
        <w:t>坚持和加强党的全面领导。以习近平新时代中国特色社会主义思想为指导，深入贯彻习近平总书记关于应急管理重要论述，践行正确政绩观，锻造高素质应急管理队伍。</w:t>
      </w:r>
    </w:p>
    <w:p w14:paraId="735873BF">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强化组织领导。细化工作推进计划，加强各级规划衔接，健全跨部门协同机制，保障规划落地见效。 </w:t>
      </w:r>
    </w:p>
    <w:p w14:paraId="67C96F37">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争取资金支持。将应急管理经费纳入财政预算，积极向上争取政策与资金，引导多元投入，夯实资金保障。 </w:t>
      </w:r>
    </w:p>
    <w:p w14:paraId="41C649CA">
      <w:pPr>
        <w:pStyle w:val="11"/>
        <w:keepNext w:val="0"/>
        <w:keepLines w:val="0"/>
        <w:pageBreakBefore w:val="0"/>
        <w:widowControl/>
        <w:kinsoku/>
        <w:wordWrap/>
        <w:overflowPunct/>
        <w:topLinePunct w:val="0"/>
        <w:autoSpaceDE/>
        <w:autoSpaceDN/>
        <w:bidi w:val="0"/>
        <w:adjustRightInd w:val="0"/>
        <w:snapToGrid/>
        <w:spacing w:before="0" w:after="0"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sectPr>
          <w:footerReference r:id="rId5" w:type="default"/>
          <w:pgSz w:w="11906" w:h="16839"/>
          <w:pgMar w:top="2098" w:right="1474" w:bottom="1984" w:left="1587" w:header="851" w:footer="1417" w:gutter="0"/>
          <w:pgNumType w:fmt="decimal"/>
          <w:cols w:space="720" w:num="1"/>
        </w:sectPr>
      </w:pPr>
      <w:r>
        <w:rPr>
          <w:rFonts w:hint="eastAsia" w:ascii="仿宋_GB2312" w:hAnsi="仿宋_GB2312" w:eastAsia="仿宋_GB2312" w:cs="仿宋_GB2312"/>
          <w:color w:val="000000"/>
          <w:sz w:val="32"/>
          <w:szCs w:val="32"/>
          <w:lang w:val="en-US" w:eastAsia="zh-CN"/>
        </w:rPr>
        <w:t>强化监督评估。开展规划动态监测，做好中期与总结评估，市县强化属地跟踪督查，保障目标任务落实。</w:t>
      </w:r>
    </w:p>
    <w:bookmarkEnd w:id="64"/>
    <w:bookmarkEnd w:id="65"/>
    <w:bookmarkEnd w:id="66"/>
    <w:bookmarkEnd w:id="67"/>
    <w:bookmarkEnd w:id="68"/>
    <w:bookmarkEnd w:id="69"/>
    <w:p w14:paraId="6FAE0A9E">
      <w:pPr>
        <w:pStyle w:val="11"/>
        <w:bidi w:val="0"/>
        <w:ind w:left="0" w:leftChars="0" w:firstLine="0" w:firstLineChars="0"/>
        <w:rPr>
          <w:rFonts w:hint="eastAsia" w:ascii="方正仿宋_GBK" w:hAnsi="方正仿宋_GBK" w:eastAsia="方正仿宋_GBK" w:cs="方正仿宋_GBK"/>
          <w:sz w:val="32"/>
          <w:szCs w:val="32"/>
        </w:rPr>
      </w:pPr>
    </w:p>
    <w:sectPr>
      <w:footerReference r:id="rId6" w:type="default"/>
      <w:footerReference r:id="rId7" w:type="even"/>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D23672-C440-4051-AEFE-F8207C83BD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406B41F-598E-4F31-90F7-F349ED5ABD51}"/>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embedRegular r:id="rId3" w:fontKey="{3B780F4A-C078-408C-8421-DD8A556BA0AC}"/>
  </w:font>
  <w:font w:name="仿宋">
    <w:panose1 w:val="02010609060101010101"/>
    <w:charset w:val="86"/>
    <w:family w:val="modern"/>
    <w:pitch w:val="default"/>
    <w:sig w:usb0="800002BF" w:usb1="38CF7CFA" w:usb2="00000016" w:usb3="00000000" w:csb0="00040001" w:csb1="00000000"/>
    <w:embedRegular r:id="rId4" w:fontKey="{A6C0D938-2DA3-421F-8D8C-64E860CDBF9E}"/>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5" w:fontKey="{F40AB77C-4954-4445-AA08-D1879EBB9710}"/>
  </w:font>
  <w:font w:name="方正小标宋简体">
    <w:panose1 w:val="00000600000000000000"/>
    <w:charset w:val="86"/>
    <w:family w:val="auto"/>
    <w:pitch w:val="default"/>
    <w:sig w:usb0="00000001" w:usb1="080E0000" w:usb2="00000000" w:usb3="00000000" w:csb0="00040000" w:csb1="00000000"/>
    <w:embedRegular r:id="rId6" w:fontKey="{3917C829-DF3F-4639-9741-23762A52883A}"/>
  </w:font>
  <w:font w:name="FangSong_GB2312">
    <w:altName w:val="仿宋_GB2312"/>
    <w:panose1 w:val="02010609030101010101"/>
    <w:charset w:val="86"/>
    <w:family w:val="auto"/>
    <w:pitch w:val="default"/>
    <w:sig w:usb0="00000000" w:usb1="00000000" w:usb2="00000000" w:usb3="00000000" w:csb0="00040000" w:csb1="00000000"/>
    <w:embedRegular r:id="rId7" w:fontKey="{F1330E31-70CA-48AC-8C47-C3D86F3883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34A30">
    <w:pPr>
      <w:pStyle w:val="13"/>
      <w:ind w:right="360"/>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043389">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1A043389">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p w14:paraId="79652480">
    <w:pPr>
      <w:pStyle w:val="13"/>
      <w:ind w:right="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633D8">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D80EB">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608D80EB">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2A1AA">
    <w:pPr>
      <w:spacing w:line="358" w:lineRule="exact"/>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620550">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13</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CLvjmBPQIAAHkEAAAOAAAAAAAAAAEAIAAAACUBAABk&#10;cnMvZTJvRG9jLnhtbFBLBQYAAAAABgAGAFkBAADUBQAAAAA=&#10;">
              <v:fill on="f" focussize="0,0"/>
              <v:stroke on="f" weight="0.5pt"/>
              <v:imagedata o:title=""/>
              <o:lock v:ext="edit" aspectratio="f"/>
              <v:textbox inset="16pt,0mm,16pt,0mm" style="mso-fit-shape-to-text:t;">
                <w:txbxContent>
                  <w:p w14:paraId="75620550">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13</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FA5D4">
    <w:pPr>
      <w:spacing w:line="358" w:lineRule="exact"/>
      <w:rPr>
        <w:rFonts w:ascii="Times New Roman" w:hAnsi="Times New Roman" w:eastAsia="Times New Roman" w:cs="Times New Roman"/>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6D478">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4C14BA"/>
    <w:rsid w:val="07005668"/>
    <w:rsid w:val="09BF2969"/>
    <w:rsid w:val="0F346981"/>
    <w:rsid w:val="11813044"/>
    <w:rsid w:val="1A642504"/>
    <w:rsid w:val="20165540"/>
    <w:rsid w:val="26B17E92"/>
    <w:rsid w:val="280C74C5"/>
    <w:rsid w:val="28E44EDA"/>
    <w:rsid w:val="2FE73400"/>
    <w:rsid w:val="30611B6D"/>
    <w:rsid w:val="359D5F2F"/>
    <w:rsid w:val="39686EDF"/>
    <w:rsid w:val="424C14BA"/>
    <w:rsid w:val="454931B7"/>
    <w:rsid w:val="45B466FF"/>
    <w:rsid w:val="45DC4237"/>
    <w:rsid w:val="4D9B7666"/>
    <w:rsid w:val="4EBB663A"/>
    <w:rsid w:val="5FB75393"/>
    <w:rsid w:val="6F1B4CDE"/>
    <w:rsid w:val="706A23E5"/>
    <w:rsid w:val="7BDD5017"/>
    <w:rsid w:val="7DE53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next w:val="1"/>
    <w:qFormat/>
    <w:uiPriority w:val="0"/>
    <w:pPr>
      <w:widowControl w:val="0"/>
      <w:adjustRightInd w:val="0"/>
      <w:spacing w:before="157" w:beforeLines="50" w:after="157" w:afterLines="50" w:line="560" w:lineRule="exact"/>
      <w:jc w:val="center"/>
      <w:outlineLvl w:val="0"/>
    </w:pPr>
    <w:rPr>
      <w:rFonts w:ascii="Times New Roman" w:hAnsi="Times New Roman" w:eastAsia="方正黑体_GBK" w:cs="Times New Roman"/>
      <w:color w:val="000000"/>
      <w:kern w:val="44"/>
      <w:sz w:val="30"/>
      <w:szCs w:val="30"/>
      <w:lang w:bidi="ar-SA"/>
    </w:rPr>
  </w:style>
  <w:style w:type="paragraph" w:styleId="3">
    <w:name w:val="heading 2"/>
    <w:next w:val="1"/>
    <w:unhideWhenUsed/>
    <w:qFormat/>
    <w:uiPriority w:val="9"/>
    <w:pPr>
      <w:widowControl w:val="0"/>
      <w:adjustRightInd w:val="0"/>
      <w:spacing w:before="157" w:beforeLines="50" w:after="157" w:afterLines="50" w:line="560" w:lineRule="exact"/>
      <w:jc w:val="center"/>
      <w:outlineLvl w:val="1"/>
    </w:pPr>
    <w:rPr>
      <w:rFonts w:ascii="Times New Roman" w:hAnsi="Times New Roman" w:eastAsia="方正楷体_GBK" w:cs="Times New Roman"/>
      <w:b/>
      <w:bCs/>
      <w:color w:val="000000"/>
      <w:kern w:val="2"/>
      <w:sz w:val="30"/>
      <w:szCs w:val="30"/>
      <w:lang w:bidi="ar-SA"/>
    </w:rPr>
  </w:style>
  <w:style w:type="paragraph" w:styleId="4">
    <w:name w:val="heading 3"/>
    <w:next w:val="1"/>
    <w:semiHidden/>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djustRightInd w:val="0"/>
      <w:spacing w:before="0" w:after="0" w:line="560" w:lineRule="exact"/>
      <w:ind w:firstLine="600" w:firstLineChars="200"/>
      <w:jc w:val="both"/>
      <w:outlineLvl w:val="9"/>
    </w:pPr>
    <w:rPr>
      <w:rFonts w:ascii="Times New Roman" w:hAnsi="Calibri" w:eastAsia="宋体" w:cs="Times New Roman"/>
      <w:sz w:val="30"/>
    </w:rPr>
  </w:style>
  <w:style w:type="paragraph" w:styleId="12">
    <w:name w:val="toc 3"/>
    <w:basedOn w:val="1"/>
    <w:next w:val="1"/>
    <w:qFormat/>
    <w:uiPriority w:val="0"/>
    <w:pPr>
      <w:ind w:left="1280" w:leftChars="400"/>
    </w:p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rPr>
      <w:rFonts w:hint="eastAsia" w:ascii="仿宋" w:hAnsi="仿宋" w:eastAsia="仿宋" w:cs="仿宋"/>
      <w:szCs w:val="32"/>
    </w:rPr>
  </w:style>
  <w:style w:type="paragraph" w:styleId="16">
    <w:name w:val="Subtitle"/>
    <w:qFormat/>
    <w:uiPriority w:val="0"/>
    <w:pPr>
      <w:widowControl w:val="0"/>
      <w:adjustRightInd w:val="0"/>
      <w:spacing w:before="100" w:after="100"/>
      <w:jc w:val="center"/>
      <w:outlineLvl w:val="9"/>
    </w:pPr>
    <w:rPr>
      <w:rFonts w:ascii="Times New Roman" w:hAnsi="Times New Roman" w:eastAsia="方正小标宋_GBK" w:cs="Times New Roman"/>
      <w:kern w:val="2"/>
      <w:sz w:val="44"/>
      <w:szCs w:val="44"/>
      <w:lang w:bidi="ar-SA"/>
    </w:rPr>
  </w:style>
  <w:style w:type="paragraph" w:styleId="17">
    <w:name w:val="toc 2"/>
    <w:basedOn w:val="1"/>
    <w:next w:val="1"/>
    <w:qFormat/>
    <w:uiPriority w:val="0"/>
    <w:pPr>
      <w:ind w:left="640" w:leftChars="200"/>
    </w:pPr>
    <w:rPr>
      <w:rFonts w:hint="eastAsia" w:ascii="仿宋" w:hAnsi="仿宋" w:eastAsia="仿宋" w:cs="仿宋"/>
      <w:szCs w:val="32"/>
    </w:rPr>
  </w:style>
  <w:style w:type="paragraph" w:styleId="18">
    <w:name w:val="Title"/>
    <w:qFormat/>
    <w:uiPriority w:val="0"/>
    <w:pPr>
      <w:widowControl w:val="0"/>
      <w:adjustRightInd w:val="0"/>
      <w:spacing w:before="100" w:after="100"/>
      <w:jc w:val="center"/>
      <w:outlineLvl w:val="9"/>
    </w:pPr>
    <w:rPr>
      <w:rFonts w:ascii="Times New Roman" w:hAnsi="Times New Roman" w:eastAsia="方正小标宋_GBK" w:cs="Times New Roman"/>
      <w:kern w:val="2"/>
      <w:sz w:val="44"/>
      <w:szCs w:val="44"/>
      <w:lang w:bidi="ar-SA"/>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basedOn w:val="21"/>
    <w:unhideWhenUsed/>
    <w:qFormat/>
    <w:uiPriority w:val="99"/>
    <w:rPr>
      <w:color w:val="0026E5" w:themeColor="hyperlink"/>
      <w:u w:val="single"/>
      <w14:textFill>
        <w14:solidFill>
          <w14:schemeClr w14:val="hlink"/>
        </w14:solidFill>
      </w14:textFill>
    </w:rPr>
  </w:style>
  <w:style w:type="paragraph" w:customStyle="1" w:styleId="24">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bidi="ar-SA"/>
    </w:rPr>
  </w:style>
  <w:style w:type="paragraph" w:customStyle="1" w:styleId="25">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26">
    <w:name w:val="标题 3 Char"/>
    <w:qFormat/>
    <w:uiPriority w:val="0"/>
    <w:rPr>
      <w:rFonts w:ascii="Times New Roman" w:hAnsi="Times New Roman" w:eastAsia="仿宋_GB2312" w:cs="仿宋_GB2312"/>
      <w:sz w:val="32"/>
      <w:szCs w:val="32"/>
    </w:rPr>
  </w:style>
  <w:style w:type="character" w:customStyle="1" w:styleId="27">
    <w:name w:val="正文文本 Char"/>
    <w:qFormat/>
    <w:uiPriority w:val="0"/>
    <w:rPr>
      <w:rFonts w:ascii="Times New Roman" w:hAnsi="Times New Roman" w:eastAsia="仿宋_GB2312" w:cs="仿宋_GB2312"/>
      <w:spacing w:val="-6"/>
      <w:sz w:val="32"/>
      <w:szCs w:val="32"/>
    </w:rPr>
  </w:style>
  <w:style w:type="paragraph" w:customStyle="1" w:styleId="28">
    <w:name w:val="目录标题"/>
    <w:next w:val="1"/>
    <w:qFormat/>
    <w:uiPriority w:val="0"/>
    <w:pPr>
      <w:widowControl w:val="0"/>
      <w:spacing w:before="0" w:beforeLines="0" w:after="0" w:afterLines="0" w:line="240" w:lineRule="atLeast"/>
      <w:ind w:left="0" w:leftChars="0" w:right="0" w:rightChars="0" w:firstLine="0" w:firstLineChars="0"/>
      <w:jc w:val="center"/>
      <w:outlineLvl w:val="9"/>
    </w:pPr>
    <w:rPr>
      <w:rFonts w:ascii="Times New Roman" w:hAnsi="Times New Roman" w:eastAsia="方正小标宋_GBK" w:cs="Times New Roman"/>
      <w:kern w:val="2"/>
      <w:sz w:val="44"/>
      <w:szCs w:val="44"/>
      <w:lang w:bidi="ar-SA"/>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Table Text"/>
    <w:basedOn w:val="1"/>
    <w:semiHidden/>
    <w:qFormat/>
    <w:uiPriority w:val="0"/>
    <w:rPr>
      <w:rFonts w:ascii="Times New Roman" w:hAnsi="Times New Roman" w:eastAsia="Times New Roman" w:cs="Times New Roman"/>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973</Words>
  <Characters>985</Characters>
  <Lines>0</Lines>
  <Paragraphs>0</Paragraphs>
  <TotalTime>83</TotalTime>
  <ScaleCrop>false</ScaleCrop>
  <LinksUpToDate>false</LinksUpToDate>
  <CharactersWithSpaces>998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2026-01-15T05:48:00Z</dcterms:created>
  <dc:creator>佟翰</dc:creator>
  <cp:lastModifiedBy>冯保苓</cp:lastModifiedBy>
  <dcterms:modified xsi:type="dcterms:W3CDTF">2026-06-22T08:22:53Z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8CD3DB50F8CF447ABBB3B7F9C9B30E34_13</vt:lpwstr>
  </property>
  <property fmtid="{D5CDD505-2E9C-101B-9397-08002B2CF9AE}" pid="4" name="KSOTemplateDocerSaveRecord">
    <vt:lpwstr>eyJoZGlkIjoiOWEzZDgxZDEzMDVlNzA4YzJhNzhlZDZjOGFiZGMzNjIiLCJ1c2VySWQiOiIyNTUyNzA4MDcifQ==</vt:lpwstr>
  </property>
</Properties>
</file>