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EA559">
      <w:pPr>
        <w:spacing w:line="560" w:lineRule="exact"/>
        <w:jc w:val="both"/>
        <w:rPr>
          <w:rFonts w:hint="eastAsia" w:ascii="黑体" w:hAnsi="黑体" w:eastAsia="黑体" w:cs="黑体"/>
          <w:color w:val="auto"/>
          <w:sz w:val="32"/>
          <w:szCs w:val="32"/>
        </w:rPr>
      </w:pPr>
      <w:bookmarkStart w:id="1" w:name="_GoBack"/>
      <w:bookmarkEnd w:id="1"/>
      <w:r>
        <w:rPr>
          <w:rFonts w:hint="eastAsia" w:ascii="黑体" w:hAnsi="黑体" w:eastAsia="黑体" w:cs="黑体"/>
          <w:color w:val="auto"/>
          <w:sz w:val="32"/>
          <w:szCs w:val="32"/>
          <w:lang w:eastAsia="zh-CN"/>
        </w:rPr>
        <w:t>附件</w:t>
      </w:r>
    </w:p>
    <w:p w14:paraId="3C5BD6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p>
    <w:p w14:paraId="6C1D81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广东省</w:t>
      </w:r>
      <w:bookmarkStart w:id="0" w:name="OLE_LINK1"/>
      <w:r>
        <w:rPr>
          <w:rFonts w:hint="eastAsia" w:ascii="Times New Roman" w:hAnsi="Times New Roman" w:eastAsia="方正小标宋简体"/>
          <w:color w:val="auto"/>
          <w:sz w:val="44"/>
          <w:szCs w:val="44"/>
        </w:rPr>
        <w:t>工业用水效率达到国家用水定额</w:t>
      </w:r>
    </w:p>
    <w:p w14:paraId="4223BA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先进值纳税人</w:t>
      </w:r>
      <w:bookmarkEnd w:id="0"/>
      <w:r>
        <w:rPr>
          <w:rStyle w:val="6"/>
          <w:rFonts w:hint="eastAsia" w:ascii="Times New Roman" w:hAnsi="Times New Roman" w:eastAsia="方正小标宋简体" w:cs="方正小标宋简体"/>
          <w:color w:val="auto"/>
          <w:sz w:val="44"/>
          <w:szCs w:val="44"/>
        </w:rPr>
        <w:t>认定工作</w:t>
      </w:r>
      <w:r>
        <w:rPr>
          <w:rFonts w:hint="eastAsia" w:ascii="Times New Roman" w:hAnsi="Times New Roman" w:eastAsia="方正小标宋简体"/>
          <w:color w:val="auto"/>
          <w:sz w:val="44"/>
          <w:szCs w:val="44"/>
        </w:rPr>
        <w:t>指引</w:t>
      </w:r>
    </w:p>
    <w:p w14:paraId="27DE58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rPr>
        <w:t>（试行）</w:t>
      </w:r>
    </w:p>
    <w:p w14:paraId="0829CA82">
      <w:pPr>
        <w:spacing w:line="572" w:lineRule="exact"/>
        <w:ind w:firstLine="640" w:firstLineChars="200"/>
        <w:jc w:val="both"/>
        <w:rPr>
          <w:rFonts w:hint="eastAsia" w:ascii="仿宋_GB2312" w:hAnsi="仿宋_GB2312" w:eastAsia="仿宋_GB2312" w:cs="仿宋_GB2312"/>
          <w:color w:val="auto"/>
          <w:sz w:val="32"/>
          <w:szCs w:val="32"/>
        </w:rPr>
      </w:pPr>
    </w:p>
    <w:p w14:paraId="12D09F7D">
      <w:pPr>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加强水资源管理和保护，促进水资源节约集约安全利用，做好《水资源税改革试点实施办法》提出的“工业用水前一年度用水效率达到国家用水定额先进值的纳税人，减征本年度百分之二十水资源税”有关要求，结合我省实际，制定本工作指引。</w:t>
      </w:r>
    </w:p>
    <w:p w14:paraId="79B7F3F7">
      <w:pPr>
        <w:spacing w:line="572" w:lineRule="exact"/>
        <w:ind w:firstLine="640" w:firstLineChars="200"/>
        <w:outlineLvl w:val="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一、适用范围与原则</w:t>
      </w:r>
    </w:p>
    <w:p w14:paraId="7EF4E958">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（一）适用范围。</w:t>
      </w:r>
      <w:r>
        <w:rPr>
          <w:rFonts w:hint="eastAsia" w:ascii="仿宋_GB2312" w:hAnsi="仿宋_GB2312" w:eastAsia="仿宋_GB2312" w:cs="仿宋_GB2312"/>
          <w:color w:val="auto"/>
          <w:kern w:val="2"/>
          <w:sz w:val="32"/>
          <w:szCs w:val="32"/>
        </w:rPr>
        <w:t>指本省行政区域内直接从江河、湖泊和地下取用水资源，依法取得取水许可证的工业企业。纳入</w:t>
      </w:r>
      <w:r>
        <w:rPr>
          <w:rFonts w:hint="eastAsia" w:ascii="仿宋_GB2312" w:hAnsi="仿宋_GB2312" w:eastAsia="仿宋_GB2312" w:cs="仿宋_GB2312"/>
          <w:color w:val="auto"/>
          <w:kern w:val="2"/>
          <w:sz w:val="32"/>
          <w:szCs w:val="32"/>
          <w:lang w:eastAsia="zh-CN"/>
        </w:rPr>
        <w:t>其他</w:t>
      </w:r>
      <w:r>
        <w:rPr>
          <w:rFonts w:hint="eastAsia" w:ascii="仿宋_GB2312" w:hAnsi="仿宋_GB2312" w:eastAsia="仿宋_GB2312" w:cs="仿宋_GB2312"/>
          <w:color w:val="auto"/>
          <w:kern w:val="2"/>
          <w:sz w:val="32"/>
          <w:szCs w:val="32"/>
        </w:rPr>
        <w:t>资源税管理的地下水工业水取水企业不在</w:t>
      </w:r>
      <w:r>
        <w:rPr>
          <w:rFonts w:hint="eastAsia" w:ascii="仿宋_GB2312" w:hAnsi="仿宋_GB2312" w:eastAsia="仿宋_GB2312" w:cs="仿宋_GB2312"/>
          <w:color w:val="auto"/>
          <w:kern w:val="2"/>
          <w:sz w:val="32"/>
          <w:szCs w:val="32"/>
          <w:lang w:eastAsia="zh-CN"/>
        </w:rPr>
        <w:t>此</w:t>
      </w:r>
      <w:r>
        <w:rPr>
          <w:rFonts w:hint="eastAsia" w:ascii="仿宋_GB2312" w:hAnsi="仿宋_GB2312" w:eastAsia="仿宋_GB2312" w:cs="仿宋_GB2312"/>
          <w:color w:val="auto"/>
          <w:kern w:val="2"/>
          <w:sz w:val="32"/>
          <w:szCs w:val="32"/>
        </w:rPr>
        <w:t>工作范围。</w:t>
      </w:r>
    </w:p>
    <w:p w14:paraId="1FA2BA4B">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（二）工作原则。</w:t>
      </w:r>
      <w:r>
        <w:rPr>
          <w:rFonts w:hint="eastAsia" w:ascii="仿宋_GB2312" w:hAnsi="仿宋_GB2312" w:eastAsia="仿宋_GB2312" w:cs="仿宋_GB2312"/>
          <w:color w:val="auto"/>
          <w:kern w:val="2"/>
          <w:sz w:val="32"/>
          <w:szCs w:val="32"/>
        </w:rPr>
        <w:t>实行“自行判别申报</w:t>
      </w:r>
      <w:r>
        <w:rPr>
          <w:rFonts w:hint="eastAsia" w:ascii="仿宋_GB2312" w:hAnsi="仿宋_GB2312" w:eastAsia="仿宋_GB2312" w:cs="仿宋_GB2312"/>
          <w:color w:val="auto"/>
          <w:kern w:val="2"/>
          <w:sz w:val="32"/>
          <w:szCs w:val="32"/>
          <w:lang w:eastAsia="zh-CN"/>
        </w:rPr>
        <w:t>、审核认定</w:t>
      </w:r>
      <w:r>
        <w:rPr>
          <w:rFonts w:hint="eastAsia" w:ascii="仿宋_GB2312" w:hAnsi="仿宋_GB2312" w:eastAsia="仿宋_GB2312" w:cs="仿宋_GB2312"/>
          <w:color w:val="auto"/>
          <w:kern w:val="2"/>
          <w:sz w:val="32"/>
          <w:szCs w:val="32"/>
        </w:rPr>
        <w:t>、有关资料留存备查”的方式。</w:t>
      </w:r>
    </w:p>
    <w:p w14:paraId="79603E48">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二、申报条件</w:t>
      </w:r>
    </w:p>
    <w:p w14:paraId="51BB13B9">
      <w:pPr>
        <w:adjustRightInd w:val="0"/>
        <w:spacing w:line="572"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（一）</w:t>
      </w:r>
      <w:r>
        <w:rPr>
          <w:rFonts w:hint="eastAsia" w:ascii="仿宋_GB2312" w:hAnsi="仿宋_GB2312" w:eastAsia="仿宋_GB2312" w:cs="仿宋_GB2312"/>
          <w:color w:val="auto"/>
          <w:sz w:val="32"/>
          <w:szCs w:val="32"/>
        </w:rPr>
        <w:t>工业用水前一年度用水效率达到国家用水定额先进值。</w:t>
      </w:r>
    </w:p>
    <w:p w14:paraId="72FF07DD">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（二）纳税人如有多种产品，均须有对应的国家用水定额，并全部达到先进值。</w:t>
      </w:r>
    </w:p>
    <w:p w14:paraId="53C25B0F">
      <w:pPr>
        <w:adjustRightInd w:val="0"/>
        <w:spacing w:line="572" w:lineRule="exact"/>
        <w:ind w:firstLine="640" w:firstLineChars="200"/>
        <w:rPr>
          <w:rFonts w:hint="eastAsia" w:ascii="仿宋_GB2312" w:hAnsi="仿宋_GB2312" w:eastAsia="仿宋_GB2312" w:cs="仿宋_GB2312"/>
          <w:color w:val="auto"/>
          <w:kern w:val="2"/>
          <w:sz w:val="32"/>
          <w:szCs w:val="32"/>
          <w:lang w:eastAsia="zh"/>
        </w:rPr>
      </w:pPr>
      <w:r>
        <w:rPr>
          <w:rFonts w:hint="eastAsia" w:ascii="仿宋_GB2312" w:hAnsi="仿宋_GB2312" w:eastAsia="仿宋_GB2312" w:cs="仿宋_GB2312"/>
          <w:color w:val="auto"/>
          <w:kern w:val="2"/>
          <w:sz w:val="32"/>
          <w:szCs w:val="32"/>
          <w:lang w:eastAsia="zh"/>
        </w:rPr>
        <w:t>（三）按规定缴清水资源税（费）。</w:t>
      </w:r>
    </w:p>
    <w:p w14:paraId="6F7CD3E3">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三、认定程序</w:t>
      </w:r>
    </w:p>
    <w:p w14:paraId="616471C0">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（一）纳税人申报。</w:t>
      </w:r>
      <w:r>
        <w:rPr>
          <w:rFonts w:hint="eastAsia" w:ascii="仿宋_GB2312" w:hAnsi="仿宋_GB2312" w:eastAsia="仿宋_GB2312" w:cs="仿宋_GB2312"/>
          <w:color w:val="auto"/>
          <w:kern w:val="2"/>
          <w:sz w:val="32"/>
          <w:szCs w:val="32"/>
          <w:lang w:bidi="ar"/>
        </w:rPr>
        <w:t>按照纳税人自主申报的原则，有意向享受减征优惠的纳税人，于年度终了之日起15日内向取水许可审批机关提交</w:t>
      </w:r>
      <w:r>
        <w:rPr>
          <w:rFonts w:hint="eastAsia" w:ascii="仿宋_GB2312" w:hAnsi="仿宋_GB2312" w:eastAsia="仿宋_GB2312" w:cs="仿宋_GB2312"/>
          <w:color w:val="auto"/>
          <w:kern w:val="2"/>
          <w:sz w:val="32"/>
          <w:szCs w:val="32"/>
          <w:lang w:eastAsia="zh-CN" w:bidi="ar"/>
        </w:rPr>
        <w:t>《广东省工业用水效率达到国家用水定额先进值申报表》</w:t>
      </w:r>
      <w:r>
        <w:rPr>
          <w:rFonts w:hint="eastAsia" w:ascii="仿宋_GB2312" w:hAnsi="仿宋_GB2312" w:eastAsia="仿宋_GB2312" w:cs="仿宋_GB2312"/>
          <w:color w:val="auto"/>
          <w:kern w:val="2"/>
          <w:sz w:val="32"/>
          <w:szCs w:val="32"/>
          <w:lang w:bidi="ar"/>
        </w:rPr>
        <w:t>（附</w:t>
      </w:r>
      <w:r>
        <w:rPr>
          <w:rFonts w:hint="eastAsia" w:ascii="仿宋_GB2312" w:hAnsi="仿宋_GB2312"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color w:val="auto"/>
          <w:kern w:val="2"/>
          <w:sz w:val="32"/>
          <w:szCs w:val="32"/>
          <w:lang w:val="en-US" w:eastAsia="zh-CN" w:bidi="ar"/>
        </w:rPr>
        <w:t>和《税务数据使用授权书》（附2）</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w:t>
      </w:r>
      <w:r>
        <w:rPr>
          <w:rFonts w:hint="eastAsia" w:ascii="仿宋_GB2312" w:hAnsi="仿宋_GB2312" w:eastAsia="仿宋_GB2312" w:cs="仿宋_GB2312"/>
          <w:color w:val="auto"/>
          <w:kern w:val="2"/>
          <w:sz w:val="32"/>
          <w:szCs w:val="32"/>
          <w:lang w:eastAsia="zh-CN" w:bidi="ar"/>
        </w:rPr>
        <w:t>向负责日常监督管理的</w:t>
      </w:r>
      <w:r>
        <w:rPr>
          <w:rFonts w:hint="eastAsia" w:ascii="仿宋_GB2312" w:hAnsi="仿宋_GB2312" w:eastAsia="仿宋_GB2312" w:cs="仿宋_GB2312"/>
          <w:color w:val="auto"/>
          <w:kern w:val="2"/>
          <w:sz w:val="32"/>
          <w:szCs w:val="32"/>
          <w:lang w:bidi="ar"/>
        </w:rPr>
        <w:t>省各流域管理局</w:t>
      </w:r>
      <w:r>
        <w:rPr>
          <w:rFonts w:hint="eastAsia" w:ascii="仿宋_GB2312" w:hAnsi="仿宋_GB2312" w:eastAsia="仿宋_GB2312" w:cs="仿宋_GB2312"/>
          <w:color w:val="auto"/>
          <w:kern w:val="2"/>
          <w:sz w:val="32"/>
          <w:szCs w:val="32"/>
          <w:lang w:eastAsia="zh-CN" w:bidi="ar"/>
        </w:rPr>
        <w:t>提交。纳税人应</w:t>
      </w:r>
      <w:r>
        <w:rPr>
          <w:rFonts w:hint="eastAsia" w:ascii="仿宋_GB2312" w:hAnsi="仿宋_GB2312" w:eastAsia="仿宋_GB2312" w:cs="仿宋_GB2312"/>
          <w:color w:val="auto"/>
          <w:kern w:val="2"/>
          <w:sz w:val="32"/>
          <w:szCs w:val="32"/>
          <w:lang w:bidi="ar"/>
        </w:rPr>
        <w:t>确保数据真实有效。</w:t>
      </w:r>
    </w:p>
    <w:p w14:paraId="36A7F5A7">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（二）受理审核。</w:t>
      </w:r>
      <w:r>
        <w:rPr>
          <w:rFonts w:hint="eastAsia" w:ascii="仿宋_GB2312" w:hAnsi="仿宋_GB2312" w:eastAsia="仿宋_GB2312" w:cs="仿宋_GB2312"/>
          <w:color w:val="auto"/>
          <w:kern w:val="2"/>
          <w:sz w:val="32"/>
          <w:szCs w:val="32"/>
          <w:lang w:eastAsia="zh-CN" w:bidi="ar"/>
        </w:rPr>
        <w:t>市县两级</w:t>
      </w:r>
      <w:r>
        <w:rPr>
          <w:rFonts w:hint="eastAsia" w:ascii="仿宋_GB2312" w:hAnsi="仿宋_GB2312" w:eastAsia="仿宋_GB2312" w:cs="仿宋_GB2312"/>
          <w:color w:val="auto"/>
          <w:kern w:val="2"/>
          <w:sz w:val="32"/>
          <w:szCs w:val="32"/>
        </w:rPr>
        <w:t>取水许可审批机关会同同级财政、税务等部门对申报资料进行审核</w:t>
      </w:r>
      <w:r>
        <w:rPr>
          <w:rFonts w:hint="eastAsia" w:ascii="仿宋_GB2312" w:hAnsi="仿宋_GB2312" w:eastAsia="仿宋_GB2312" w:cs="仿宋_GB2312"/>
          <w:color w:val="auto"/>
          <w:kern w:val="2"/>
          <w:sz w:val="32"/>
          <w:szCs w:val="32"/>
          <w:lang w:eastAsia="zh-CN"/>
        </w:rPr>
        <w:t>确定</w:t>
      </w:r>
      <w:r>
        <w:rPr>
          <w:rFonts w:hint="eastAsia" w:ascii="仿宋_GB2312" w:hAnsi="仿宋_GB2312" w:eastAsia="仿宋_GB2312" w:cs="仿宋_GB2312"/>
          <w:color w:val="auto"/>
          <w:kern w:val="2"/>
          <w:sz w:val="32"/>
          <w:szCs w:val="32"/>
        </w:rPr>
        <w:t>后，</w:t>
      </w:r>
      <w:r>
        <w:rPr>
          <w:rFonts w:hint="eastAsia" w:ascii="仿宋_GB2312" w:hAnsi="仿宋_GB2312" w:eastAsia="仿宋_GB2312" w:cs="仿宋_GB2312"/>
          <w:color w:val="auto"/>
          <w:kern w:val="2"/>
          <w:sz w:val="32"/>
          <w:szCs w:val="32"/>
          <w:lang w:eastAsia="zh-CN"/>
        </w:rPr>
        <w:t>由市级水行政主管部门汇总。市级水行政主管部门会同同级财政、税务等部门</w:t>
      </w:r>
      <w:r>
        <w:rPr>
          <w:rFonts w:hint="eastAsia" w:ascii="仿宋_GB2312" w:hAnsi="仿宋_GB2312" w:eastAsia="仿宋_GB2312" w:cs="仿宋_GB2312"/>
          <w:color w:val="auto"/>
          <w:kern w:val="2"/>
          <w:sz w:val="32"/>
          <w:szCs w:val="32"/>
        </w:rPr>
        <w:t>于每年2月15日前将审核通过的纳税人名单及申报资料报送省级水行政</w:t>
      </w:r>
      <w:r>
        <w:rPr>
          <w:rFonts w:hint="eastAsia" w:ascii="仿宋_GB2312" w:hAnsi="仿宋_GB2312" w:eastAsia="仿宋_GB2312" w:cs="仿宋_GB2312"/>
          <w:color w:val="auto"/>
          <w:kern w:val="2"/>
          <w:sz w:val="32"/>
          <w:szCs w:val="32"/>
          <w:lang w:eastAsia="zh-CN"/>
        </w:rPr>
        <w:t>、财政、税务</w:t>
      </w:r>
      <w:r>
        <w:rPr>
          <w:rFonts w:hint="eastAsia" w:ascii="仿宋_GB2312" w:hAnsi="仿宋_GB2312" w:eastAsia="仿宋_GB2312" w:cs="仿宋_GB2312"/>
          <w:color w:val="auto"/>
          <w:kern w:val="2"/>
          <w:sz w:val="32"/>
          <w:szCs w:val="32"/>
        </w:rPr>
        <w:t>主管部门。</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委托管理和省水利厅审批发证取水户提交的申报资料，</w:t>
      </w:r>
      <w:r>
        <w:rPr>
          <w:rFonts w:hint="eastAsia" w:ascii="仿宋_GB2312" w:hAnsi="仿宋_GB2312" w:eastAsia="仿宋_GB2312" w:cs="仿宋_GB2312"/>
          <w:color w:val="auto"/>
          <w:kern w:val="2"/>
          <w:sz w:val="32"/>
          <w:szCs w:val="32"/>
          <w:lang w:eastAsia="zh-CN" w:bidi="ar"/>
        </w:rPr>
        <w:t>由省级水行政主管部门会同省级财政、税务部门审核</w:t>
      </w:r>
      <w:r>
        <w:rPr>
          <w:rFonts w:hint="eastAsia" w:ascii="仿宋_GB2312" w:hAnsi="仿宋_GB2312" w:eastAsia="仿宋_GB2312" w:cs="仿宋_GB2312"/>
          <w:color w:val="auto"/>
          <w:kern w:val="2"/>
          <w:sz w:val="32"/>
          <w:szCs w:val="32"/>
        </w:rPr>
        <w:t>。</w:t>
      </w:r>
    </w:p>
    <w:p w14:paraId="4DBA3612">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（三）省级发布。</w:t>
      </w:r>
      <w:r>
        <w:rPr>
          <w:rFonts w:hint="eastAsia" w:ascii="仿宋_GB2312" w:hAnsi="仿宋_GB2312" w:eastAsia="仿宋_GB2312" w:cs="仿宋_GB2312"/>
          <w:color w:val="auto"/>
          <w:kern w:val="2"/>
          <w:sz w:val="32"/>
          <w:szCs w:val="32"/>
        </w:rPr>
        <w:t>省级水行政主管部门会同同级财政、税务等部门对本省工业用水前一年度用水效率达到国家用水定额先进值的纳税人名单进行公示，于每年3月31日前公布。</w:t>
      </w:r>
    </w:p>
    <w:p w14:paraId="43A5AFE5">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（四）名单调整。</w:t>
      </w:r>
      <w:r>
        <w:rPr>
          <w:rFonts w:hint="eastAsia" w:ascii="仿宋_GB2312" w:hAnsi="仿宋_GB2312" w:eastAsia="仿宋_GB2312" w:cs="仿宋_GB2312"/>
          <w:color w:val="auto"/>
          <w:kern w:val="2"/>
          <w:sz w:val="32"/>
          <w:szCs w:val="32"/>
        </w:rPr>
        <w:t>当发生以下情形之一时，省</w:t>
      </w:r>
      <w:r>
        <w:rPr>
          <w:rFonts w:hint="eastAsia" w:ascii="仿宋_GB2312" w:hAnsi="仿宋_GB2312" w:eastAsia="仿宋_GB2312" w:cs="仿宋_GB2312"/>
          <w:color w:val="auto"/>
          <w:kern w:val="2"/>
          <w:sz w:val="32"/>
          <w:szCs w:val="32"/>
          <w:lang w:val="en-US" w:eastAsia="zh-CN"/>
        </w:rPr>
        <w:t>级</w:t>
      </w:r>
      <w:r>
        <w:rPr>
          <w:rFonts w:hint="eastAsia" w:ascii="仿宋_GB2312" w:hAnsi="仿宋_GB2312" w:eastAsia="仿宋_GB2312" w:cs="仿宋_GB2312"/>
          <w:color w:val="auto"/>
          <w:kern w:val="2"/>
          <w:sz w:val="32"/>
          <w:szCs w:val="32"/>
        </w:rPr>
        <w:t>水行政主管部门会同同级财政、税务等部门确定纳税人发生变更情形后是否符合享受优惠政策的条件，并及时对名单进行调整。</w:t>
      </w:r>
    </w:p>
    <w:p w14:paraId="2A76CDB3">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纳入名单的纳税人如在当年发生更名、重组或与认定条件有关重大变化情形的，应当自发生变化之日起10个工作日内重新</w:t>
      </w:r>
      <w:r>
        <w:rPr>
          <w:rFonts w:hint="eastAsia" w:ascii="仿宋_GB2312" w:hAnsi="仿宋_GB2312" w:eastAsia="仿宋_GB2312" w:cs="仿宋_GB2312"/>
          <w:color w:val="auto"/>
          <w:kern w:val="2"/>
          <w:sz w:val="32"/>
          <w:szCs w:val="32"/>
          <w:lang w:eastAsia="zh-CN"/>
        </w:rPr>
        <w:t>按照申报要求</w:t>
      </w:r>
      <w:r>
        <w:rPr>
          <w:rFonts w:hint="eastAsia" w:ascii="仿宋_GB2312" w:hAnsi="仿宋_GB2312" w:eastAsia="仿宋_GB2312" w:cs="仿宋_GB2312"/>
          <w:color w:val="auto"/>
          <w:kern w:val="2"/>
          <w:sz w:val="32"/>
          <w:szCs w:val="32"/>
        </w:rPr>
        <w:t>报</w:t>
      </w:r>
      <w:r>
        <w:rPr>
          <w:rFonts w:hint="eastAsia" w:ascii="仿宋_GB2312" w:hAnsi="仿宋_GB2312" w:eastAsia="仿宋_GB2312" w:cs="仿宋_GB2312"/>
          <w:color w:val="auto"/>
          <w:kern w:val="2"/>
          <w:sz w:val="32"/>
          <w:szCs w:val="32"/>
          <w:lang w:eastAsia="zh-CN"/>
        </w:rPr>
        <w:t>送</w:t>
      </w:r>
      <w:r>
        <w:rPr>
          <w:rFonts w:hint="eastAsia" w:ascii="仿宋_GB2312" w:hAnsi="仿宋_GB2312" w:eastAsia="仿宋_GB2312" w:cs="仿宋_GB2312"/>
          <w:color w:val="auto"/>
          <w:kern w:val="2"/>
          <w:sz w:val="32"/>
          <w:szCs w:val="32"/>
        </w:rPr>
        <w:t>有关情况并提供相关证明材料。</w:t>
      </w:r>
    </w:p>
    <w:p w14:paraId="5D9D0EA7">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sz w:val="32"/>
          <w:szCs w:val="32"/>
        </w:rPr>
        <w:t>本年度日常监管中发现纳税人存在无证取水、超许可取水、超计划取水、超采地下水、擅自改变取水用途等违法行为的，纳税人自违法取用水行为发生之月起不得享受优惠政策。取水许可审批机关和省各流域管理局</w:t>
      </w:r>
      <w:r>
        <w:rPr>
          <w:rFonts w:hint="eastAsia" w:ascii="仿宋_GB2312" w:hAnsi="仿宋_GB2312" w:eastAsia="仿宋_GB2312" w:cs="仿宋_GB2312"/>
          <w:color w:val="auto"/>
          <w:kern w:val="2"/>
          <w:sz w:val="32"/>
          <w:szCs w:val="32"/>
        </w:rPr>
        <w:t>应当在</w:t>
      </w:r>
      <w:r>
        <w:rPr>
          <w:rFonts w:hint="eastAsia" w:ascii="仿宋_GB2312" w:hAnsi="仿宋_GB2312" w:eastAsia="仿宋_GB2312" w:cs="仿宋_GB2312"/>
          <w:color w:val="auto"/>
          <w:kern w:val="2"/>
          <w:sz w:val="32"/>
          <w:szCs w:val="32"/>
          <w:lang w:val="en-US" w:eastAsia="zh-CN"/>
        </w:rPr>
        <w:t>确认违法行为之日起，</w:t>
      </w:r>
      <w:r>
        <w:rPr>
          <w:rFonts w:hint="eastAsia" w:ascii="仿宋_GB2312" w:hAnsi="仿宋_GB2312" w:eastAsia="仿宋_GB2312" w:cs="仿宋_GB2312"/>
          <w:color w:val="auto"/>
          <w:kern w:val="2"/>
          <w:sz w:val="32"/>
          <w:szCs w:val="32"/>
        </w:rPr>
        <w:t>10个工作日内向省水行政主管部门报告有关情况</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并抄送取水口所在地财政、税务部门</w:t>
      </w:r>
      <w:r>
        <w:rPr>
          <w:rFonts w:hint="eastAsia" w:ascii="仿宋_GB2312" w:hAnsi="仿宋_GB2312" w:eastAsia="仿宋_GB2312" w:cs="仿宋_GB2312"/>
          <w:color w:val="auto"/>
          <w:kern w:val="2"/>
          <w:sz w:val="32"/>
          <w:szCs w:val="32"/>
        </w:rPr>
        <w:t>。</w:t>
      </w:r>
    </w:p>
    <w:p w14:paraId="3A8219BA">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bidi="ar-SA"/>
        </w:rPr>
        <w:t>在监管过程中如发现纳税人存在以虚假信息获得减税资格等其他不符合减税条件的，</w:t>
      </w:r>
      <w:r>
        <w:rPr>
          <w:rFonts w:hint="eastAsia" w:ascii="仿宋_GB2312" w:hAnsi="仿宋_GB2312" w:eastAsia="仿宋_GB2312" w:cs="仿宋_GB2312"/>
          <w:strike w:val="0"/>
          <w:dstrike w:val="0"/>
          <w:color w:val="auto"/>
          <w:kern w:val="2"/>
          <w:sz w:val="32"/>
          <w:szCs w:val="32"/>
          <w:lang w:bidi="ar-SA"/>
        </w:rPr>
        <w:t>及时</w:t>
      </w:r>
      <w:r>
        <w:rPr>
          <w:rFonts w:hint="eastAsia" w:ascii="仿宋_GB2312" w:hAnsi="仿宋_GB2312" w:eastAsia="仿宋_GB2312" w:cs="仿宋_GB2312"/>
          <w:color w:val="auto"/>
          <w:kern w:val="2"/>
          <w:sz w:val="32"/>
          <w:szCs w:val="32"/>
          <w:lang w:bidi="ar-SA"/>
        </w:rPr>
        <w:t>对名单进行调整。主管税务机关按照《中华人民共和国税收征收管理法》及其实施细则有关规定对纳税人予以处理。</w:t>
      </w:r>
    </w:p>
    <w:p w14:paraId="1A962E90">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四、有关要求</w:t>
      </w:r>
    </w:p>
    <w:p w14:paraId="09C4C442">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rPr>
        <w:t>纳税人对申报数据和报送材料的真实性、完整性、合法性承担法律责任，与享受优惠政策有关的取水计量信息、发电量信息、产品产量等资料</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留存备查，并积极主动配合相关部门核查。</w:t>
      </w:r>
      <w:r>
        <w:rPr>
          <w:rFonts w:hint="eastAsia" w:ascii="仿宋_GB2312" w:hAnsi="仿宋_GB2312" w:eastAsia="仿宋_GB2312" w:cs="仿宋_GB2312"/>
          <w:color w:val="auto"/>
          <w:kern w:val="2"/>
          <w:sz w:val="32"/>
          <w:szCs w:val="32"/>
          <w:lang w:bidi="ar-SA"/>
        </w:rPr>
        <w:t>各级水行政主管、财政、税务等部门要按照职责分工对名单内纳税人加强日常监管。</w:t>
      </w:r>
    </w:p>
    <w:p w14:paraId="75BD3491">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eastAsia="zh-CN" w:bidi="ar-SA"/>
        </w:rPr>
        <w:t>国家另有规定的，从其规定。</w:t>
      </w:r>
    </w:p>
    <w:p w14:paraId="6F793C18">
      <w:pPr>
        <w:pStyle w:val="7"/>
        <w:spacing w:line="572" w:lineRule="exact"/>
        <w:ind w:firstLine="640" w:firstLineChars="200"/>
        <w:rPr>
          <w:rFonts w:hint="eastAsia" w:ascii="Times New Roman" w:hAnsi="Times New Roman" w:eastAsia="仿宋_GB2312" w:cs="仿宋_GB2312"/>
          <w:color w:val="auto"/>
          <w:kern w:val="0"/>
          <w:sz w:val="32"/>
          <w:szCs w:val="32"/>
          <w:lang w:bidi="ar"/>
        </w:rPr>
      </w:pPr>
    </w:p>
    <w:p w14:paraId="396812D8">
      <w:pPr>
        <w:pStyle w:val="7"/>
        <w:keepNext w:val="0"/>
        <w:keepLines w:val="0"/>
        <w:pageBreakBefore w:val="0"/>
        <w:widowControl/>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楷体_GB2312"/>
          <w:color w:val="auto"/>
          <w:spacing w:val="-6"/>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仿宋_GB2312"/>
          <w:color w:val="auto"/>
          <w:kern w:val="0"/>
          <w:sz w:val="32"/>
          <w:szCs w:val="32"/>
          <w:lang w:bidi="ar"/>
        </w:rPr>
        <w:t>广东省</w:t>
      </w:r>
      <w:r>
        <w:rPr>
          <w:rFonts w:hint="eastAsia" w:ascii="Times New Roman" w:hAnsi="Times New Roman" w:eastAsia="仿宋_GB2312" w:cs="楷体_GB2312"/>
          <w:color w:val="auto"/>
          <w:spacing w:val="-6"/>
          <w:sz w:val="32"/>
          <w:szCs w:val="32"/>
        </w:rPr>
        <w:t>工业用水效率达到国家用水定额先进值申报表</w:t>
      </w:r>
    </w:p>
    <w:p w14:paraId="0B0A3634">
      <w:pPr>
        <w:pStyle w:val="7"/>
        <w:keepNext w:val="0"/>
        <w:keepLines w:val="0"/>
        <w:pageBreakBefore w:val="0"/>
        <w:widowControl/>
        <w:kinsoku/>
        <w:wordWrap/>
        <w:overflowPunct/>
        <w:topLinePunct w:val="0"/>
        <w:autoSpaceDE/>
        <w:autoSpaceDN/>
        <w:bidi w:val="0"/>
        <w:adjustRightInd/>
        <w:snapToGrid/>
        <w:spacing w:line="572" w:lineRule="exact"/>
        <w:ind w:left="0" w:leftChars="0" w:firstLine="1120" w:firstLineChars="3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2.税务数据使用授权书</w:t>
      </w:r>
    </w:p>
    <w:p w14:paraId="3FC31472">
      <w:pPr>
        <w:pStyle w:val="7"/>
        <w:spacing w:line="572" w:lineRule="exact"/>
        <w:ind w:left="598" w:leftChars="285" w:firstLine="640" w:firstLineChars="200"/>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F286A4A"/>
    <w:p w14:paraId="210BE446">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1</w:t>
      </w:r>
    </w:p>
    <w:p w14:paraId="0F3F279A">
      <w:pPr>
        <w:jc w:val="center"/>
        <w:rPr>
          <w:rFonts w:ascii="Times New Roman" w:hAnsi="Times New Roman"/>
          <w:b/>
          <w:bCs/>
          <w:color w:val="auto"/>
          <w:sz w:val="32"/>
          <w:szCs w:val="32"/>
        </w:rPr>
      </w:pPr>
      <w:r>
        <w:rPr>
          <w:rFonts w:hint="eastAsia" w:ascii="Times New Roman" w:hAnsi="Times New Roman"/>
          <w:b/>
          <w:bCs/>
          <w:color w:val="auto"/>
          <w:sz w:val="32"/>
          <w:szCs w:val="32"/>
        </w:rPr>
        <w:t>广东省</w:t>
      </w:r>
      <w:r>
        <w:rPr>
          <w:rFonts w:ascii="Times New Roman" w:hAnsi="Times New Roman"/>
          <w:b/>
          <w:bCs/>
          <w:color w:val="auto"/>
          <w:sz w:val="32"/>
          <w:szCs w:val="32"/>
        </w:rPr>
        <w:t>工业</w:t>
      </w:r>
      <w:r>
        <w:rPr>
          <w:rFonts w:hint="eastAsia" w:ascii="Times New Roman" w:hAnsi="Times New Roman"/>
          <w:b/>
          <w:bCs/>
          <w:color w:val="auto"/>
          <w:sz w:val="32"/>
          <w:szCs w:val="32"/>
        </w:rPr>
        <w:t>用水效率达到国家用水定额先进值</w:t>
      </w:r>
      <w:r>
        <w:rPr>
          <w:rFonts w:ascii="Times New Roman" w:hAnsi="Times New Roman"/>
          <w:b/>
          <w:bCs/>
          <w:color w:val="auto"/>
          <w:sz w:val="32"/>
          <w:szCs w:val="32"/>
        </w:rPr>
        <w:t>申报表</w:t>
      </w:r>
    </w:p>
    <w:p w14:paraId="312EB132">
      <w:pPr>
        <w:jc w:val="center"/>
        <w:rPr>
          <w:rFonts w:hint="eastAsia" w:ascii="Times New Roman" w:hAnsi="Times New Roman"/>
          <w:b/>
          <w:bCs/>
          <w:color w:val="auto"/>
          <w:sz w:val="32"/>
          <w:szCs w:val="32"/>
        </w:rPr>
      </w:pPr>
      <w:r>
        <w:rPr>
          <w:rFonts w:hint="eastAsia" w:ascii="Times New Roman" w:hAnsi="Times New Roman"/>
          <w:b/>
          <w:bCs/>
          <w:color w:val="auto"/>
          <w:sz w:val="32"/>
          <w:szCs w:val="32"/>
        </w:rPr>
        <w:t>（</w:t>
      </w:r>
      <w:r>
        <w:rPr>
          <w:rFonts w:ascii="Times New Roman" w:hAnsi="Times New Roman"/>
          <w:b/>
          <w:bCs/>
          <w:color w:val="auto"/>
          <w:sz w:val="32"/>
          <w:szCs w:val="32"/>
          <w:u w:val="single"/>
        </w:rPr>
        <w:t xml:space="preserve">     </w:t>
      </w:r>
      <w:r>
        <w:rPr>
          <w:rFonts w:hint="eastAsia" w:ascii="Times New Roman" w:hAnsi="Times New Roman"/>
          <w:b/>
          <w:bCs/>
          <w:color w:val="auto"/>
          <w:sz w:val="32"/>
          <w:szCs w:val="32"/>
        </w:rPr>
        <w:t>年度）</w:t>
      </w:r>
    </w:p>
    <w:tbl>
      <w:tblPr>
        <w:tblStyle w:val="4"/>
        <w:tblW w:w="94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59"/>
        <w:gridCol w:w="368"/>
        <w:gridCol w:w="352"/>
        <w:gridCol w:w="1088"/>
        <w:gridCol w:w="184"/>
        <w:gridCol w:w="1332"/>
        <w:gridCol w:w="174"/>
        <w:gridCol w:w="822"/>
        <w:gridCol w:w="744"/>
        <w:gridCol w:w="1176"/>
        <w:gridCol w:w="672"/>
        <w:gridCol w:w="1492"/>
      </w:tblGrid>
      <w:tr w14:paraId="03980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452" w:type="dxa"/>
            <w:gridSpan w:val="13"/>
            <w:noWrap w:val="0"/>
            <w:vAlign w:val="center"/>
          </w:tcPr>
          <w:p w14:paraId="46FFADDE">
            <w:pPr>
              <w:keepNext w:val="0"/>
              <w:keepLines w:val="0"/>
              <w:pageBreakBefore w:val="0"/>
              <w:widowControl/>
              <w:kinsoku w:val="0"/>
              <w:wordWrap/>
              <w:overflowPunct/>
              <w:topLinePunct w:val="0"/>
              <w:autoSpaceDE w:val="0"/>
              <w:autoSpaceDN w:val="0"/>
              <w:bidi w:val="0"/>
              <w:adjustRightInd w:val="0"/>
              <w:snapToGrid w:val="0"/>
              <w:spacing w:line="0" w:lineRule="atLeast"/>
              <w:jc w:val="left"/>
              <w:textAlignment w:val="baseline"/>
              <w:rPr>
                <w:rFonts w:hint="eastAsia" w:ascii="Times New Roman" w:hAnsi="Times New Roman"/>
                <w:b/>
                <w:bCs/>
                <w:snapToGrid w:val="0"/>
                <w:color w:val="auto"/>
                <w:kern w:val="0"/>
                <w:sz w:val="24"/>
                <w:lang w:eastAsia="en-US"/>
              </w:rPr>
            </w:pPr>
            <w:r>
              <w:rPr>
                <w:rFonts w:hint="eastAsia" w:ascii="Times New Roman" w:hAnsi="Times New Roman"/>
                <w:b/>
                <w:bCs/>
                <w:snapToGrid w:val="0"/>
                <w:color w:val="auto"/>
                <w:spacing w:val="-1"/>
                <w:kern w:val="0"/>
                <w:sz w:val="24"/>
                <w:lang w:eastAsia="en-US"/>
              </w:rPr>
              <w:t>一、基本情况。</w:t>
            </w:r>
          </w:p>
        </w:tc>
      </w:tr>
      <w:tr w14:paraId="7ED59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7FA4044D">
            <w:pPr>
              <w:keepNext w:val="0"/>
              <w:keepLines w:val="0"/>
              <w:pageBreakBefore w:val="0"/>
              <w:widowControl/>
              <w:kinsoku w:val="0"/>
              <w:wordWrap/>
              <w:overflowPunct/>
              <w:topLinePunct w:val="0"/>
              <w:autoSpaceDE w:val="0"/>
              <w:autoSpaceDN w:val="0"/>
              <w:bidi w:val="0"/>
              <w:adjustRightInd w:val="0"/>
              <w:snapToGrid w:val="0"/>
              <w:spacing w:line="0" w:lineRule="atLeast"/>
              <w:ind w:right="5"/>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3"/>
                <w:kern w:val="0"/>
                <w:sz w:val="24"/>
                <w:lang w:eastAsia="en-US"/>
              </w:rPr>
              <w:t>纳税人名称（全称）</w:t>
            </w:r>
          </w:p>
        </w:tc>
        <w:tc>
          <w:tcPr>
            <w:tcW w:w="6596" w:type="dxa"/>
            <w:gridSpan w:val="8"/>
            <w:noWrap w:val="0"/>
            <w:vAlign w:val="center"/>
          </w:tcPr>
          <w:p w14:paraId="37D0503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1972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48832862">
            <w:pPr>
              <w:keepNext w:val="0"/>
              <w:keepLines w:val="0"/>
              <w:pageBreakBefore w:val="0"/>
              <w:widowControl/>
              <w:kinsoku w:val="0"/>
              <w:wordWrap/>
              <w:overflowPunct/>
              <w:topLinePunct w:val="0"/>
              <w:autoSpaceDE w:val="0"/>
              <w:autoSpaceDN w:val="0"/>
              <w:bidi w:val="0"/>
              <w:adjustRightInd w:val="0"/>
              <w:snapToGrid w:val="0"/>
              <w:spacing w:line="0" w:lineRule="atLeast"/>
              <w:ind w:left="104" w:right="45" w:hanging="70"/>
              <w:jc w:val="center"/>
              <w:textAlignment w:val="baseline"/>
              <w:rPr>
                <w:rFonts w:hint="eastAsia" w:ascii="Times New Roman" w:hAnsi="Times New Roman"/>
                <w:snapToGrid w:val="0"/>
                <w:color w:val="auto"/>
                <w:kern w:val="0"/>
                <w:sz w:val="24"/>
              </w:rPr>
            </w:pPr>
            <w:r>
              <w:rPr>
                <w:rFonts w:hint="eastAsia" w:ascii="Times New Roman" w:hAnsi="Times New Roman"/>
                <w:snapToGrid w:val="0"/>
                <w:color w:val="auto"/>
                <w:spacing w:val="-1"/>
                <w:kern w:val="0"/>
                <w:sz w:val="24"/>
              </w:rPr>
              <w:t>纳税人识别号（统一</w:t>
            </w:r>
            <w:r>
              <w:rPr>
                <w:rFonts w:hint="eastAsia" w:ascii="Times New Roman" w:hAnsi="Times New Roman"/>
                <w:snapToGrid w:val="0"/>
                <w:color w:val="auto"/>
                <w:spacing w:val="3"/>
                <w:kern w:val="0"/>
                <w:sz w:val="24"/>
              </w:rPr>
              <w:t>社会信用代码）</w:t>
            </w:r>
          </w:p>
        </w:tc>
        <w:tc>
          <w:tcPr>
            <w:tcW w:w="6596" w:type="dxa"/>
            <w:gridSpan w:val="8"/>
            <w:noWrap w:val="0"/>
            <w:vAlign w:val="center"/>
          </w:tcPr>
          <w:p w14:paraId="4AA293E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rPr>
            </w:pPr>
          </w:p>
        </w:tc>
      </w:tr>
      <w:tr w14:paraId="5CBC6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70B1657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
                <w:kern w:val="0"/>
                <w:sz w:val="24"/>
                <w:lang w:eastAsia="en-US"/>
              </w:rPr>
              <w:t>取水许可证编号</w:t>
            </w:r>
          </w:p>
        </w:tc>
        <w:tc>
          <w:tcPr>
            <w:tcW w:w="6596" w:type="dxa"/>
            <w:gridSpan w:val="8"/>
            <w:noWrap w:val="0"/>
            <w:vAlign w:val="center"/>
          </w:tcPr>
          <w:p w14:paraId="07F3922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355E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7408DEE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rPr>
              <w:t>行政区划</w:t>
            </w:r>
          </w:p>
        </w:tc>
        <w:tc>
          <w:tcPr>
            <w:tcW w:w="1867" w:type="dxa"/>
            <w:gridSpan w:val="4"/>
            <w:noWrap w:val="0"/>
            <w:vAlign w:val="center"/>
          </w:tcPr>
          <w:p w14:paraId="24309BA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kern w:val="0"/>
                <w:sz w:val="24"/>
                <w:lang w:eastAsia="en-US"/>
              </w:rPr>
              <w:t>市</w:t>
            </w:r>
          </w:p>
        </w:tc>
        <w:tc>
          <w:tcPr>
            <w:tcW w:w="1690" w:type="dxa"/>
            <w:gridSpan w:val="3"/>
            <w:noWrap w:val="0"/>
            <w:vAlign w:val="center"/>
          </w:tcPr>
          <w:p w14:paraId="6C5AE0C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488A36C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5"/>
                <w:kern w:val="0"/>
                <w:sz w:val="24"/>
                <w:lang w:eastAsia="en-US"/>
              </w:rPr>
              <w:t>县（市、区）</w:t>
            </w:r>
          </w:p>
        </w:tc>
        <w:tc>
          <w:tcPr>
            <w:tcW w:w="3340" w:type="dxa"/>
            <w:gridSpan w:val="3"/>
            <w:noWrap w:val="0"/>
            <w:vAlign w:val="center"/>
          </w:tcPr>
          <w:p w14:paraId="2435F66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0C163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46BEE3B1">
            <w:pPr>
              <w:keepNext w:val="0"/>
              <w:keepLines w:val="0"/>
              <w:pageBreakBefore w:val="0"/>
              <w:widowControl/>
              <w:kinsoku w:val="0"/>
              <w:wordWrap/>
              <w:overflowPunct/>
              <w:topLinePunct w:val="0"/>
              <w:autoSpaceDE w:val="0"/>
              <w:autoSpaceDN w:val="0"/>
              <w:bidi w:val="0"/>
              <w:adjustRightInd w:val="0"/>
              <w:snapToGrid w:val="0"/>
              <w:spacing w:line="0" w:lineRule="atLeast"/>
              <w:ind w:left="24"/>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联系人</w:t>
            </w:r>
          </w:p>
        </w:tc>
        <w:tc>
          <w:tcPr>
            <w:tcW w:w="1867" w:type="dxa"/>
            <w:gridSpan w:val="4"/>
            <w:noWrap w:val="0"/>
            <w:vAlign w:val="center"/>
          </w:tcPr>
          <w:p w14:paraId="194BDA5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9"/>
                <w:kern w:val="0"/>
                <w:sz w:val="24"/>
                <w:lang w:eastAsia="en-US"/>
              </w:rPr>
              <w:t>姓名</w:t>
            </w:r>
          </w:p>
        </w:tc>
        <w:tc>
          <w:tcPr>
            <w:tcW w:w="1690" w:type="dxa"/>
            <w:gridSpan w:val="3"/>
            <w:noWrap w:val="0"/>
            <w:vAlign w:val="center"/>
          </w:tcPr>
          <w:p w14:paraId="79AB6D3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6F1A698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联系电话</w:t>
            </w:r>
          </w:p>
        </w:tc>
        <w:tc>
          <w:tcPr>
            <w:tcW w:w="3340" w:type="dxa"/>
            <w:gridSpan w:val="3"/>
            <w:noWrap w:val="0"/>
            <w:vAlign w:val="center"/>
          </w:tcPr>
          <w:p w14:paraId="6AC489D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444BA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9452" w:type="dxa"/>
            <w:gridSpan w:val="13"/>
            <w:noWrap w:val="0"/>
            <w:vAlign w:val="center"/>
          </w:tcPr>
          <w:p w14:paraId="4B2C3C66">
            <w:pPr>
              <w:keepNext w:val="0"/>
              <w:keepLines w:val="0"/>
              <w:pageBreakBefore w:val="0"/>
              <w:widowControl/>
              <w:kinsoku w:val="0"/>
              <w:wordWrap/>
              <w:overflowPunct/>
              <w:topLinePunct w:val="0"/>
              <w:autoSpaceDE w:val="0"/>
              <w:autoSpaceDN w:val="0"/>
              <w:bidi w:val="0"/>
              <w:adjustRightInd w:val="0"/>
              <w:snapToGrid w:val="0"/>
              <w:spacing w:line="0" w:lineRule="atLeast"/>
              <w:ind w:left="17"/>
              <w:jc w:val="left"/>
              <w:textAlignment w:val="baseline"/>
              <w:rPr>
                <w:rFonts w:hint="default" w:ascii="Times New Roman" w:hAnsi="Times New Roman" w:eastAsia="宋体"/>
                <w:snapToGrid w:val="0"/>
                <w:color w:val="auto"/>
                <w:kern w:val="0"/>
                <w:sz w:val="24"/>
                <w:lang w:val="en-US" w:eastAsia="zh-CN"/>
              </w:rPr>
            </w:pPr>
            <w:r>
              <w:rPr>
                <w:rFonts w:hint="eastAsia"/>
                <w:b/>
                <w:bCs/>
                <w:color w:val="auto"/>
                <w:sz w:val="24"/>
                <w:szCs w:val="24"/>
              </w:rPr>
              <w:t>二、总取水量</w:t>
            </w:r>
            <w:r>
              <w:rPr>
                <w:rFonts w:hint="eastAsia"/>
                <w:b/>
                <w:bCs/>
                <w:color w:val="auto"/>
                <w:sz w:val="24"/>
                <w:szCs w:val="24"/>
                <w:lang w:val="en-US" w:eastAsia="zh-CN"/>
              </w:rPr>
              <w:t>和税费</w:t>
            </w:r>
            <w:r>
              <w:rPr>
                <w:rFonts w:hint="eastAsia"/>
                <w:b/>
                <w:bCs/>
                <w:color w:val="auto"/>
                <w:sz w:val="24"/>
                <w:szCs w:val="24"/>
              </w:rPr>
              <w:t>。</w:t>
            </w:r>
            <w:r>
              <w:rPr>
                <w:rFonts w:hint="eastAsia"/>
                <w:color w:val="auto"/>
                <w:sz w:val="24"/>
                <w:szCs w:val="24"/>
                <w:lang w:val="en-US" w:eastAsia="zh-CN"/>
              </w:rPr>
              <w:t>总取水量</w:t>
            </w:r>
            <w:r>
              <w:rPr>
                <w:rFonts w:hint="eastAsia"/>
                <w:color w:val="auto"/>
                <w:sz w:val="24"/>
                <w:szCs w:val="24"/>
              </w:rPr>
              <w:t>指全部取水量，以一级水表为计量界面；包括主要生产、辅助生产和附属生产取水量，附属生产（即生活）取用水量包括饮用、食堂、厕所、洗浴、厂区绿化、行政办公楼等。</w:t>
            </w:r>
            <w:r>
              <w:rPr>
                <w:rFonts w:hint="eastAsia"/>
                <w:color w:val="auto"/>
                <w:sz w:val="24"/>
                <w:szCs w:val="24"/>
                <w:lang w:val="en-US" w:eastAsia="zh-CN"/>
              </w:rPr>
              <w:t>地表水、地下水填缴纳的水资源税（费），按入库期合并统计。城镇供水管网、非常规水、其他填支付的水费。</w:t>
            </w:r>
          </w:p>
        </w:tc>
      </w:tr>
      <w:tr w14:paraId="65893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43C4C38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水源类型</w:t>
            </w:r>
          </w:p>
        </w:tc>
        <w:tc>
          <w:tcPr>
            <w:tcW w:w="3256" w:type="dxa"/>
            <w:gridSpan w:val="5"/>
            <w:tcBorders>
              <w:right w:val="single" w:color="auto" w:sz="4" w:space="0"/>
            </w:tcBorders>
            <w:noWrap w:val="0"/>
            <w:vAlign w:val="center"/>
          </w:tcPr>
          <w:p w14:paraId="1CF3CF4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r>
              <w:rPr>
                <w:rFonts w:hint="eastAsia" w:ascii="Times New Roman" w:hAnsi="Times New Roman"/>
                <w:snapToGrid w:val="0"/>
                <w:color w:val="auto"/>
                <w:spacing w:val="14"/>
                <w:kern w:val="0"/>
                <w:sz w:val="24"/>
                <w:lang w:eastAsia="en-US"/>
              </w:rPr>
              <w:t>取</w:t>
            </w:r>
            <w:r>
              <w:rPr>
                <w:rFonts w:hint="eastAsia" w:ascii="Times New Roman" w:hAnsi="Times New Roman"/>
                <w:snapToGrid w:val="0"/>
                <w:color w:val="auto"/>
                <w:spacing w:val="14"/>
                <w:kern w:val="0"/>
                <w:sz w:val="24"/>
              </w:rPr>
              <w:t>用</w:t>
            </w:r>
            <w:r>
              <w:rPr>
                <w:rFonts w:hint="eastAsia" w:ascii="Times New Roman" w:hAnsi="Times New Roman"/>
                <w:snapToGrid w:val="0"/>
                <w:color w:val="auto"/>
                <w:spacing w:val="14"/>
                <w:kern w:val="0"/>
                <w:sz w:val="24"/>
                <w:lang w:eastAsia="en-US"/>
              </w:rPr>
              <w:t>水量</w:t>
            </w:r>
            <w:r>
              <w:rPr>
                <w:rFonts w:hint="eastAsia" w:ascii="Times New Roman" w:hAnsi="Times New Roman"/>
                <w:snapToGrid w:val="0"/>
                <w:color w:val="auto"/>
                <w:spacing w:val="14"/>
                <w:kern w:val="0"/>
                <w:sz w:val="24"/>
              </w:rPr>
              <w:t>（</w:t>
            </w:r>
            <w:r>
              <w:rPr>
                <w:rFonts w:hint="eastAsia" w:ascii="Times New Roman" w:hAnsi="Times New Roman"/>
                <w:snapToGrid w:val="0"/>
                <w:color w:val="auto"/>
                <w:spacing w:val="14"/>
                <w:kern w:val="0"/>
                <w:sz w:val="24"/>
                <w:lang w:eastAsia="en-US"/>
              </w:rPr>
              <w:t>m</w:t>
            </w:r>
            <w:r>
              <w:rPr>
                <w:rFonts w:hint="eastAsia" w:ascii="Times New Roman" w:hAnsi="Times New Roman" w:cs="Calibri"/>
                <w:snapToGrid w:val="0"/>
                <w:color w:val="auto"/>
                <w:spacing w:val="14"/>
                <w:kern w:val="0"/>
                <w:sz w:val="24"/>
                <w:vertAlign w:val="superscript"/>
                <w:lang w:val="en-US" w:eastAsia="zh-CN"/>
              </w:rPr>
              <w:t>3</w:t>
            </w:r>
            <w:r>
              <w:rPr>
                <w:rFonts w:hint="eastAsia" w:ascii="Times New Roman" w:hAnsi="Times New Roman"/>
                <w:snapToGrid w:val="0"/>
                <w:color w:val="auto"/>
                <w:spacing w:val="14"/>
                <w:kern w:val="0"/>
                <w:sz w:val="24"/>
              </w:rPr>
              <w:t>）</w:t>
            </w:r>
          </w:p>
        </w:tc>
        <w:tc>
          <w:tcPr>
            <w:tcW w:w="3340" w:type="dxa"/>
            <w:gridSpan w:val="3"/>
            <w:tcBorders>
              <w:left w:val="single" w:color="auto" w:sz="4" w:space="0"/>
            </w:tcBorders>
            <w:noWrap w:val="0"/>
            <w:vAlign w:val="center"/>
          </w:tcPr>
          <w:p w14:paraId="3106D898">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eastAsia" w:ascii="Times New Roman" w:hAnsi="Times New Roman"/>
                <w:snapToGrid w:val="0"/>
                <w:color w:val="auto"/>
                <w:spacing w:val="-10"/>
                <w:kern w:val="0"/>
                <w:sz w:val="24"/>
                <w:lang w:val="en-US" w:eastAsia="zh-CN"/>
              </w:rPr>
            </w:pPr>
            <w:r>
              <w:rPr>
                <w:rFonts w:hint="eastAsia" w:ascii="Times New Roman" w:hAnsi="Times New Roman"/>
                <w:snapToGrid w:val="0"/>
                <w:color w:val="auto"/>
                <w:spacing w:val="-10"/>
                <w:kern w:val="0"/>
                <w:sz w:val="24"/>
                <w:lang w:val="en-US" w:eastAsia="zh-CN"/>
              </w:rPr>
              <w:t>水资源税（费）</w:t>
            </w:r>
          </w:p>
          <w:p w14:paraId="68B859F6">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default" w:ascii="Times New Roman" w:hAnsi="Times New Roman" w:eastAsia="宋体"/>
                <w:snapToGrid w:val="0"/>
                <w:color w:val="auto"/>
                <w:spacing w:val="14"/>
                <w:kern w:val="0"/>
                <w:sz w:val="24"/>
                <w:lang w:val="en-US" w:eastAsia="zh-CN"/>
              </w:rPr>
            </w:pPr>
            <w:r>
              <w:rPr>
                <w:rFonts w:hint="eastAsia" w:ascii="Times New Roman" w:hAnsi="Times New Roman"/>
                <w:snapToGrid w:val="0"/>
                <w:color w:val="auto"/>
                <w:spacing w:val="-10"/>
                <w:kern w:val="0"/>
                <w:sz w:val="24"/>
                <w:lang w:val="en-US" w:eastAsia="zh-CN"/>
              </w:rPr>
              <w:t>或水费（万元）</w:t>
            </w:r>
          </w:p>
        </w:tc>
      </w:tr>
      <w:tr w14:paraId="1001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restart"/>
            <w:tcBorders>
              <w:right w:val="single" w:color="auto" w:sz="4" w:space="0"/>
            </w:tcBorders>
            <w:noWrap w:val="0"/>
            <w:vAlign w:val="center"/>
          </w:tcPr>
          <w:p w14:paraId="2C2C16B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3"/>
                <w:kern w:val="0"/>
                <w:sz w:val="24"/>
                <w:lang w:eastAsia="en-US"/>
              </w:rPr>
              <w:t>取水许</w:t>
            </w:r>
            <w:r>
              <w:rPr>
                <w:rFonts w:hint="eastAsia" w:ascii="Times New Roman" w:hAnsi="Times New Roman"/>
                <w:snapToGrid w:val="0"/>
                <w:color w:val="auto"/>
                <w:spacing w:val="-2"/>
                <w:kern w:val="0"/>
                <w:sz w:val="24"/>
                <w:lang w:eastAsia="en-US"/>
              </w:rPr>
              <w:t>可证</w:t>
            </w:r>
          </w:p>
        </w:tc>
        <w:tc>
          <w:tcPr>
            <w:tcW w:w="1440" w:type="dxa"/>
            <w:gridSpan w:val="2"/>
            <w:tcBorders>
              <w:left w:val="single" w:color="auto" w:sz="4" w:space="0"/>
            </w:tcBorders>
            <w:noWrap w:val="0"/>
            <w:vAlign w:val="center"/>
          </w:tcPr>
          <w:p w14:paraId="6A98754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地表水</w:t>
            </w:r>
          </w:p>
        </w:tc>
        <w:tc>
          <w:tcPr>
            <w:tcW w:w="3256" w:type="dxa"/>
            <w:gridSpan w:val="5"/>
            <w:tcBorders>
              <w:right w:val="single" w:color="auto" w:sz="4" w:space="0"/>
            </w:tcBorders>
            <w:noWrap w:val="0"/>
            <w:vAlign w:val="center"/>
          </w:tcPr>
          <w:p w14:paraId="10BD11E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3F441E7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0302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continue"/>
            <w:tcBorders>
              <w:right w:val="single" w:color="auto" w:sz="4" w:space="0"/>
            </w:tcBorders>
            <w:noWrap w:val="0"/>
            <w:vAlign w:val="center"/>
          </w:tcPr>
          <w:p w14:paraId="0455355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p>
        </w:tc>
        <w:tc>
          <w:tcPr>
            <w:tcW w:w="1440" w:type="dxa"/>
            <w:gridSpan w:val="2"/>
            <w:tcBorders>
              <w:left w:val="single" w:color="auto" w:sz="4" w:space="0"/>
            </w:tcBorders>
            <w:noWrap w:val="0"/>
            <w:vAlign w:val="center"/>
          </w:tcPr>
          <w:p w14:paraId="22784DB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地下水</w:t>
            </w:r>
          </w:p>
        </w:tc>
        <w:tc>
          <w:tcPr>
            <w:tcW w:w="3256" w:type="dxa"/>
            <w:gridSpan w:val="5"/>
            <w:tcBorders>
              <w:right w:val="single" w:color="auto" w:sz="4" w:space="0"/>
            </w:tcBorders>
            <w:noWrap w:val="0"/>
            <w:vAlign w:val="center"/>
          </w:tcPr>
          <w:p w14:paraId="6A37248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7F35CF9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3C2C1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75D2BC3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城镇供水管网</w:t>
            </w:r>
          </w:p>
        </w:tc>
        <w:tc>
          <w:tcPr>
            <w:tcW w:w="3256" w:type="dxa"/>
            <w:gridSpan w:val="5"/>
            <w:tcBorders>
              <w:right w:val="single" w:color="auto" w:sz="4" w:space="0"/>
            </w:tcBorders>
            <w:noWrap w:val="0"/>
            <w:vAlign w:val="center"/>
          </w:tcPr>
          <w:p w14:paraId="4447612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tcBorders>
            <w:noWrap w:val="0"/>
            <w:vAlign w:val="center"/>
          </w:tcPr>
          <w:p w14:paraId="58B2BC7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eastAsia="宋体"/>
                <w:snapToGrid w:val="0"/>
                <w:color w:val="auto"/>
                <w:spacing w:val="14"/>
                <w:kern w:val="0"/>
                <w:sz w:val="24"/>
                <w:lang w:val="en-US" w:eastAsia="zh-CN"/>
              </w:rPr>
            </w:pPr>
          </w:p>
        </w:tc>
      </w:tr>
      <w:tr w14:paraId="6C886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1F8311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非常规水</w:t>
            </w:r>
          </w:p>
        </w:tc>
        <w:tc>
          <w:tcPr>
            <w:tcW w:w="3256" w:type="dxa"/>
            <w:gridSpan w:val="5"/>
            <w:tcBorders>
              <w:right w:val="single" w:color="auto" w:sz="4" w:space="0"/>
            </w:tcBorders>
            <w:noWrap w:val="0"/>
            <w:vAlign w:val="center"/>
          </w:tcPr>
          <w:p w14:paraId="4612A20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170869B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1E7ED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60D4A77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 xml:space="preserve">其他（ </w:t>
            </w:r>
            <w:r>
              <w:rPr>
                <w:rFonts w:ascii="Times New Roman" w:hAnsi="Times New Roman"/>
                <w:snapToGrid w:val="0"/>
                <w:color w:val="auto"/>
                <w:spacing w:val="-2"/>
                <w:kern w:val="0"/>
                <w:sz w:val="24"/>
              </w:rPr>
              <w:t xml:space="preserve"> </w:t>
            </w:r>
            <w:r>
              <w:rPr>
                <w:rFonts w:hint="eastAsia" w:ascii="Times New Roman" w:hAnsi="Times New Roman"/>
                <w:snapToGrid w:val="0"/>
                <w:color w:val="auto"/>
                <w:spacing w:val="-2"/>
                <w:kern w:val="0"/>
                <w:sz w:val="24"/>
              </w:rPr>
              <w:t>）</w:t>
            </w:r>
          </w:p>
        </w:tc>
        <w:tc>
          <w:tcPr>
            <w:tcW w:w="3256" w:type="dxa"/>
            <w:gridSpan w:val="5"/>
            <w:tcBorders>
              <w:right w:val="single" w:color="auto" w:sz="4" w:space="0"/>
            </w:tcBorders>
            <w:noWrap w:val="0"/>
            <w:vAlign w:val="center"/>
          </w:tcPr>
          <w:p w14:paraId="04CDA93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0D48CF9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44985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27849C2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合计</w:t>
            </w:r>
          </w:p>
        </w:tc>
        <w:tc>
          <w:tcPr>
            <w:tcW w:w="3256" w:type="dxa"/>
            <w:gridSpan w:val="5"/>
            <w:tcBorders>
              <w:right w:val="single" w:color="auto" w:sz="4" w:space="0"/>
            </w:tcBorders>
            <w:noWrap w:val="0"/>
            <w:vAlign w:val="center"/>
          </w:tcPr>
          <w:p w14:paraId="45E92FA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4DECFAD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7252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112" w:type="dxa"/>
            <w:gridSpan w:val="10"/>
            <w:tcBorders>
              <w:right w:val="single" w:color="auto" w:sz="4" w:space="0"/>
            </w:tcBorders>
            <w:noWrap w:val="0"/>
            <w:vAlign w:val="center"/>
          </w:tcPr>
          <w:p w14:paraId="08A1697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4"/>
                <w:kern w:val="0"/>
                <w:sz w:val="24"/>
                <w:lang w:val="en-US" w:eastAsia="zh-CN"/>
              </w:rPr>
              <w:t>是否已按规定缴清水资源税（费）</w:t>
            </w:r>
          </w:p>
        </w:tc>
        <w:tc>
          <w:tcPr>
            <w:tcW w:w="3340" w:type="dxa"/>
            <w:gridSpan w:val="3"/>
            <w:tcBorders>
              <w:top w:val="single" w:color="auto" w:sz="4" w:space="0"/>
              <w:left w:val="single" w:color="auto" w:sz="4" w:space="0"/>
              <w:bottom w:val="single" w:color="auto" w:sz="4" w:space="0"/>
            </w:tcBorders>
            <w:noWrap w:val="0"/>
            <w:vAlign w:val="center"/>
          </w:tcPr>
          <w:p w14:paraId="48F7605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0B05C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jc w:val="center"/>
        </w:trPr>
        <w:tc>
          <w:tcPr>
            <w:tcW w:w="9452" w:type="dxa"/>
            <w:gridSpan w:val="13"/>
            <w:noWrap w:val="0"/>
            <w:vAlign w:val="center"/>
          </w:tcPr>
          <w:p w14:paraId="63DFF63B">
            <w:pPr>
              <w:keepNext w:val="0"/>
              <w:keepLines w:val="0"/>
              <w:pageBreakBefore w:val="0"/>
              <w:wordWrap/>
              <w:overflowPunct/>
              <w:topLinePunct w:val="0"/>
              <w:bidi w:val="0"/>
              <w:spacing w:line="0" w:lineRule="atLeast"/>
              <w:rPr>
                <w:rFonts w:hint="eastAsia"/>
                <w:color w:val="auto"/>
                <w:sz w:val="24"/>
                <w:szCs w:val="24"/>
              </w:rPr>
            </w:pPr>
            <w:r>
              <w:rPr>
                <w:rFonts w:hint="eastAsia"/>
                <w:b/>
                <w:bCs/>
                <w:color w:val="auto"/>
                <w:sz w:val="24"/>
                <w:szCs w:val="24"/>
                <w:lang w:val="en-US" w:eastAsia="zh-CN"/>
              </w:rPr>
              <w:t>三、</w:t>
            </w:r>
            <w:r>
              <w:rPr>
                <w:rFonts w:hint="eastAsia"/>
                <w:b/>
                <w:bCs/>
                <w:color w:val="auto"/>
                <w:sz w:val="24"/>
                <w:szCs w:val="24"/>
              </w:rPr>
              <w:t>产品产量和取水量。</w:t>
            </w:r>
            <w:r>
              <w:rPr>
                <w:rFonts w:hint="eastAsia"/>
                <w:color w:val="auto"/>
                <w:sz w:val="24"/>
                <w:szCs w:val="24"/>
              </w:rPr>
              <w:t>包括主要生产、辅助生产和附属生产（生活）取水量。</w:t>
            </w:r>
          </w:p>
          <w:p w14:paraId="596C3F99">
            <w:pPr>
              <w:keepNext w:val="0"/>
              <w:keepLines w:val="0"/>
              <w:pageBreakBefore w:val="0"/>
              <w:wordWrap/>
              <w:overflowPunct/>
              <w:topLinePunct w:val="0"/>
              <w:bidi w:val="0"/>
              <w:spacing w:line="0" w:lineRule="atLeast"/>
              <w:rPr>
                <w:rFonts w:hint="eastAsia" w:ascii="Times New Roman" w:hAnsi="Times New Roman"/>
                <w:snapToGrid w:val="0"/>
                <w:color w:val="auto"/>
                <w:kern w:val="0"/>
                <w:sz w:val="24"/>
              </w:rPr>
            </w:pPr>
            <w:r>
              <w:rPr>
                <w:rFonts w:hint="eastAsia"/>
                <w:color w:val="auto"/>
                <w:sz w:val="24"/>
                <w:szCs w:val="24"/>
              </w:rPr>
              <w:t>各个产品取水量之和应等于全厂总取水量。如国家有明确规定在计算用水定额</w:t>
            </w:r>
            <w:r>
              <w:rPr>
                <w:rFonts w:hint="eastAsia"/>
                <w:color w:val="auto"/>
                <w:sz w:val="24"/>
                <w:szCs w:val="24"/>
                <w:lang w:eastAsia="zh-CN"/>
              </w:rPr>
              <w:t>时</w:t>
            </w:r>
            <w:r>
              <w:rPr>
                <w:rFonts w:hint="eastAsia"/>
                <w:color w:val="auto"/>
                <w:sz w:val="24"/>
                <w:szCs w:val="24"/>
              </w:rPr>
              <w:t>可扣除部分水量的，请在备注中说明相关依据及扣除的具体水量。</w:t>
            </w:r>
          </w:p>
        </w:tc>
      </w:tr>
      <w:tr w14:paraId="3816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40" w:type="dxa"/>
            <w:gridSpan w:val="6"/>
            <w:noWrap w:val="0"/>
            <w:vAlign w:val="center"/>
          </w:tcPr>
          <w:p w14:paraId="4ED97BB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w:t>
            </w:r>
          </w:p>
        </w:tc>
        <w:tc>
          <w:tcPr>
            <w:tcW w:w="1332" w:type="dxa"/>
            <w:vMerge w:val="restart"/>
            <w:tcBorders>
              <w:bottom w:val="nil"/>
            </w:tcBorders>
            <w:noWrap w:val="0"/>
            <w:vAlign w:val="center"/>
          </w:tcPr>
          <w:p w14:paraId="0109235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水量（m³）</w:t>
            </w:r>
          </w:p>
        </w:tc>
        <w:tc>
          <w:tcPr>
            <w:tcW w:w="1740" w:type="dxa"/>
            <w:gridSpan w:val="3"/>
            <w:noWrap w:val="0"/>
            <w:vAlign w:val="center"/>
          </w:tcPr>
          <w:p w14:paraId="52058F5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单位产品</w:t>
            </w:r>
          </w:p>
          <w:p w14:paraId="0939729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w:t>
            </w:r>
          </w:p>
        </w:tc>
        <w:tc>
          <w:tcPr>
            <w:tcW w:w="1848" w:type="dxa"/>
            <w:gridSpan w:val="2"/>
            <w:tcBorders>
              <w:bottom w:val="single" w:color="auto" w:sz="4" w:space="0"/>
              <w:right w:val="single" w:color="auto" w:sz="4" w:space="0"/>
            </w:tcBorders>
            <w:noWrap w:val="0"/>
            <w:vAlign w:val="center"/>
          </w:tcPr>
          <w:p w14:paraId="041FC8B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国家用水</w:t>
            </w:r>
          </w:p>
          <w:p w14:paraId="1FDECF8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rPr>
              <w:t>定额标准</w:t>
            </w:r>
          </w:p>
        </w:tc>
        <w:tc>
          <w:tcPr>
            <w:tcW w:w="1492" w:type="dxa"/>
            <w:vMerge w:val="restart"/>
            <w:tcBorders>
              <w:left w:val="single" w:color="auto" w:sz="4" w:space="0"/>
              <w:bottom w:val="nil"/>
            </w:tcBorders>
            <w:noWrap w:val="0"/>
            <w:vAlign w:val="center"/>
          </w:tcPr>
          <w:p w14:paraId="411756D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单位产品取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水量是否</w:t>
            </w:r>
            <w:r>
              <w:rPr>
                <w:rFonts w:hint="eastAsia" w:ascii="Times New Roman" w:hAnsi="Times New Roman"/>
                <w:snapToGrid w:val="0"/>
                <w:color w:val="auto"/>
                <w:spacing w:val="2"/>
                <w:kern w:val="0"/>
                <w:sz w:val="24"/>
                <w:lang w:eastAsia="zh-CN"/>
              </w:rPr>
              <w:t>达到</w:t>
            </w:r>
            <w:r>
              <w:rPr>
                <w:rFonts w:ascii="Times New Roman" w:hAnsi="Times New Roman"/>
                <w:snapToGrid w:val="0"/>
                <w:color w:val="auto"/>
                <w:spacing w:val="2"/>
                <w:kern w:val="0"/>
                <w:sz w:val="24"/>
              </w:rPr>
              <w:t>国家用水定额先进值</w:t>
            </w:r>
          </w:p>
        </w:tc>
      </w:tr>
      <w:tr w14:paraId="4E9B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D64069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名称</w:t>
            </w:r>
          </w:p>
        </w:tc>
        <w:tc>
          <w:tcPr>
            <w:tcW w:w="720" w:type="dxa"/>
            <w:gridSpan w:val="2"/>
            <w:noWrap w:val="0"/>
            <w:vAlign w:val="center"/>
          </w:tcPr>
          <w:p w14:paraId="0A92CD6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272" w:type="dxa"/>
            <w:gridSpan w:val="2"/>
            <w:noWrap w:val="0"/>
            <w:vAlign w:val="center"/>
          </w:tcPr>
          <w:p w14:paraId="50F8DC8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产量</w:t>
            </w:r>
          </w:p>
        </w:tc>
        <w:tc>
          <w:tcPr>
            <w:tcW w:w="1332" w:type="dxa"/>
            <w:vMerge w:val="continue"/>
            <w:tcBorders>
              <w:top w:val="nil"/>
            </w:tcBorders>
            <w:noWrap w:val="0"/>
            <w:vAlign w:val="center"/>
          </w:tcPr>
          <w:p w14:paraId="79E6F72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38066E5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数值（取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水量/产量）</w:t>
            </w:r>
          </w:p>
        </w:tc>
        <w:tc>
          <w:tcPr>
            <w:tcW w:w="744" w:type="dxa"/>
            <w:noWrap w:val="0"/>
            <w:vAlign w:val="center"/>
          </w:tcPr>
          <w:p w14:paraId="6FD3F1E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176" w:type="dxa"/>
            <w:tcBorders>
              <w:top w:val="single" w:color="auto" w:sz="4" w:space="0"/>
              <w:right w:val="single" w:color="auto" w:sz="4" w:space="0"/>
            </w:tcBorders>
            <w:noWrap w:val="0"/>
            <w:vAlign w:val="center"/>
          </w:tcPr>
          <w:p w14:paraId="79020321">
            <w:pPr>
              <w:keepNext w:val="0"/>
              <w:keepLines w:val="0"/>
              <w:pageBreakBefore w:val="0"/>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标准号</w:t>
            </w:r>
          </w:p>
        </w:tc>
        <w:tc>
          <w:tcPr>
            <w:tcW w:w="672" w:type="dxa"/>
            <w:tcBorders>
              <w:top w:val="single" w:color="auto" w:sz="4" w:space="0"/>
              <w:left w:val="single" w:color="auto" w:sz="4" w:space="0"/>
              <w:right w:val="single" w:color="auto" w:sz="4" w:space="0"/>
            </w:tcBorders>
            <w:noWrap w:val="0"/>
            <w:vAlign w:val="center"/>
          </w:tcPr>
          <w:p w14:paraId="7851E31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先进值</w:t>
            </w:r>
          </w:p>
        </w:tc>
        <w:tc>
          <w:tcPr>
            <w:tcW w:w="1492" w:type="dxa"/>
            <w:vMerge w:val="continue"/>
            <w:tcBorders>
              <w:top w:val="nil"/>
              <w:left w:val="single" w:color="auto" w:sz="4" w:space="0"/>
            </w:tcBorders>
            <w:noWrap w:val="0"/>
            <w:vAlign w:val="center"/>
          </w:tcPr>
          <w:p w14:paraId="75BE114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r>
      <w:tr w14:paraId="70C64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107626B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0324883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F9D3E4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220E8E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744007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591735D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5A18F48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26E4B29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263B1AA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5849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F8A1C9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5F744FE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79C3641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7756B4E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212DDB1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DFA1C9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4201B56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AE7827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4F1B81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0F9C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5355122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5BE485D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EC6262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4A58171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ECE5D5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669DA1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B624D4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3D670E5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CE152D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50941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5EC18D1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41FFC6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62EDF97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617F69B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2A44D0E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AF8C26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5B1841A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7B5D80C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1823515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190C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5E1854D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2C1CC85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41EA69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283618B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7D887F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5494310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092744F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6784A46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47F95D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B241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21F049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4D488A1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69E2E05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4A5C833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83A491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584AA0B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5256855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648E0DD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0ED4939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380A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8EAC68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24A60E5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830BC5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0B49018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2003E2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6E9CB4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2BE2191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05E324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63F20AA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1D40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43AD18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2E81D6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4C044B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06A2987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648A2FF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5D84C59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41C6045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05E94D9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F68E7D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3769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1AFB34E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165FE48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1F3E47D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7CFFC7E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1A27E6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695BCF5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88D8F7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19C4F6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25D2F6F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3385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00B62CA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485918A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3FDBEA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2798FBB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6A78097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4EFFECC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47D2B67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2F12AA8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4B80F01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5B02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9452" w:type="dxa"/>
            <w:gridSpan w:val="13"/>
            <w:noWrap w:val="0"/>
            <w:vAlign w:val="center"/>
          </w:tcPr>
          <w:p w14:paraId="76402E66">
            <w:pPr>
              <w:keepNext w:val="0"/>
              <w:keepLines w:val="0"/>
              <w:pageBreakBefore w:val="0"/>
              <w:widowControl/>
              <w:kinsoku w:val="0"/>
              <w:wordWrap/>
              <w:overflowPunct/>
              <w:topLinePunct w:val="0"/>
              <w:autoSpaceDE w:val="0"/>
              <w:autoSpaceDN w:val="0"/>
              <w:bidi w:val="0"/>
              <w:adjustRightInd w:val="0"/>
              <w:snapToGrid w:val="0"/>
              <w:spacing w:line="0" w:lineRule="atLeast"/>
              <w:jc w:val="both"/>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rPr>
              <w:t>备注：</w:t>
            </w:r>
          </w:p>
        </w:tc>
      </w:tr>
      <w:tr w14:paraId="3BB78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8" w:hRule="atLeast"/>
          <w:jc w:val="center"/>
        </w:trPr>
        <w:tc>
          <w:tcPr>
            <w:tcW w:w="9452" w:type="dxa"/>
            <w:gridSpan w:val="13"/>
            <w:noWrap w:val="0"/>
            <w:vAlign w:val="top"/>
          </w:tcPr>
          <w:p w14:paraId="0AE9B3F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6BF22AF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本</w:t>
            </w:r>
            <w:r>
              <w:rPr>
                <w:rFonts w:hint="eastAsia" w:ascii="仿宋_GB2312" w:hAnsi="等线" w:cs="仿宋_GB2312"/>
                <w:color w:val="auto"/>
                <w:kern w:val="0"/>
                <w:sz w:val="24"/>
                <w:lang w:eastAsia="zh" w:bidi="ar"/>
              </w:rPr>
              <w:t>单位（人）</w:t>
            </w:r>
            <w:r>
              <w:rPr>
                <w:rFonts w:hint="eastAsia" w:ascii="仿宋_GB2312" w:hAnsi="等线" w:cs="仿宋_GB2312"/>
                <w:color w:val="auto"/>
                <w:kern w:val="0"/>
                <w:sz w:val="24"/>
                <w:lang w:bidi="ar"/>
              </w:rPr>
              <w:t>声明，对</w:t>
            </w:r>
            <w:r>
              <w:rPr>
                <w:rFonts w:hint="eastAsia" w:ascii="仿宋_GB2312" w:hAnsi="等线" w:cs="仿宋_GB2312"/>
                <w:color w:val="auto"/>
                <w:kern w:val="0"/>
                <w:sz w:val="24"/>
                <w:lang w:eastAsia="zh" w:bidi="ar"/>
              </w:rPr>
              <w:t>填报内容</w:t>
            </w:r>
            <w:r>
              <w:rPr>
                <w:rFonts w:hint="eastAsia" w:ascii="仿宋_GB2312" w:hAnsi="等线" w:cs="仿宋_GB2312"/>
                <w:color w:val="auto"/>
                <w:kern w:val="0"/>
                <w:sz w:val="24"/>
                <w:lang w:bidi="ar"/>
              </w:rPr>
              <w:t>的真实性、完整性和</w:t>
            </w:r>
            <w:r>
              <w:rPr>
                <w:rFonts w:hint="eastAsia" w:ascii="仿宋_GB2312" w:hAnsi="等线" w:cs="仿宋_GB2312"/>
                <w:color w:val="auto"/>
                <w:kern w:val="0"/>
                <w:sz w:val="24"/>
                <w:lang w:eastAsia="zh-CN" w:bidi="ar"/>
              </w:rPr>
              <w:t>合法</w:t>
            </w:r>
            <w:r>
              <w:rPr>
                <w:rFonts w:hint="eastAsia" w:ascii="仿宋_GB2312" w:hAnsi="等线" w:cs="仿宋_GB2312"/>
                <w:color w:val="auto"/>
                <w:kern w:val="0"/>
                <w:sz w:val="24"/>
                <w:lang w:bidi="ar"/>
              </w:rPr>
              <w:t>性承担法律责任。</w:t>
            </w:r>
          </w:p>
          <w:p w14:paraId="10C4E45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62185F1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50E5A5B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r>
              <w:rPr>
                <w:rFonts w:hint="eastAsia" w:ascii="仿宋_GB2312" w:hAnsi="等线" w:cs="仿宋_GB2312"/>
                <w:color w:val="auto"/>
                <w:kern w:val="0"/>
                <w:sz w:val="24"/>
                <w:lang w:eastAsia="zh-CN" w:bidi="ar"/>
              </w:rPr>
              <w:t>纳税人</w:t>
            </w:r>
            <w:r>
              <w:rPr>
                <w:rFonts w:hint="eastAsia" w:ascii="仿宋_GB2312" w:hAnsi="等线" w:cs="仿宋_GB2312"/>
                <w:color w:val="auto"/>
                <w:kern w:val="0"/>
                <w:sz w:val="24"/>
                <w:lang w:bidi="ar"/>
              </w:rPr>
              <w:t>签字（</w:t>
            </w:r>
            <w:r>
              <w:rPr>
                <w:rFonts w:hint="eastAsia" w:ascii="仿宋_GB2312" w:hAnsi="等线" w:cs="仿宋_GB2312"/>
                <w:color w:val="auto"/>
                <w:kern w:val="0"/>
                <w:sz w:val="24"/>
                <w:lang w:eastAsia="zh" w:bidi="ar"/>
              </w:rPr>
              <w:t>单位</w:t>
            </w:r>
            <w:r>
              <w:rPr>
                <w:rFonts w:hint="eastAsia" w:ascii="仿宋_GB2312" w:hAnsi="等线" w:cs="仿宋_GB2312"/>
                <w:color w:val="auto"/>
                <w:kern w:val="0"/>
                <w:sz w:val="24"/>
                <w:lang w:bidi="ar"/>
              </w:rPr>
              <w:t>盖章）：</w:t>
            </w:r>
          </w:p>
          <w:p w14:paraId="712B226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p>
          <w:p w14:paraId="5FC7B3C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1"/>
                <w:kern w:val="0"/>
                <w:sz w:val="24"/>
                <w:lang w:eastAsia="en-US"/>
              </w:rPr>
            </w:pPr>
            <w:r>
              <w:rPr>
                <w:rFonts w:hint="eastAsia" w:ascii="仿宋_GB2312" w:hAnsi="等线" w:cs="仿宋_GB2312"/>
                <w:color w:val="auto"/>
                <w:kern w:val="0"/>
                <w:sz w:val="24"/>
                <w:lang w:bidi="ar"/>
              </w:rPr>
              <w:t xml:space="preserve">                                                年    月    日</w:t>
            </w:r>
          </w:p>
        </w:tc>
      </w:tr>
    </w:tbl>
    <w:p w14:paraId="7CFB2E0A">
      <w:pPr>
        <w:pStyle w:val="2"/>
        <w:rPr>
          <w:rFonts w:hint="eastAsia"/>
          <w:color w:val="auto"/>
          <w:lang w:eastAsia="zh-CN"/>
        </w:rPr>
      </w:pPr>
    </w:p>
    <w:p w14:paraId="122BC2E5">
      <w:pPr>
        <w:pStyle w:val="2"/>
        <w:rPr>
          <w:rFonts w:hint="eastAsia"/>
          <w:color w:val="auto"/>
          <w:lang w:eastAsia="zh-CN"/>
        </w:rPr>
        <w:sectPr>
          <w:pgSz w:w="11906" w:h="16838"/>
          <w:pgMar w:top="1440" w:right="1800" w:bottom="1440" w:left="1800" w:header="851" w:footer="992" w:gutter="0"/>
          <w:pgNumType w:fmt="decimal"/>
          <w:cols w:space="720" w:num="1"/>
          <w:docGrid w:type="lines" w:linePitch="312" w:charSpace="0"/>
        </w:sectPr>
      </w:pPr>
    </w:p>
    <w:p w14:paraId="0836BB94">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2</w:t>
      </w:r>
    </w:p>
    <w:p w14:paraId="293302C7">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税务数据使用授权书</w:t>
      </w:r>
    </w:p>
    <w:p w14:paraId="5B3E5560">
      <w:pPr>
        <w:jc w:val="both"/>
        <w:rPr>
          <w:rFonts w:hint="eastAsia" w:ascii="仿宋_GB2312" w:hAnsi="仿宋_GB2312" w:eastAsia="仿宋_GB2312" w:cs="仿宋_GB2312"/>
          <w:b/>
          <w:bCs/>
          <w:color w:val="auto"/>
          <w:sz w:val="32"/>
          <w:szCs w:val="32"/>
          <w:lang w:val="en-US" w:eastAsia="zh-CN"/>
        </w:rPr>
      </w:pPr>
    </w:p>
    <w:p w14:paraId="1259A1D4">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兹授权水行政主管部门、财政主管部门调用本企业在国家税务总局广东省税务局、国家税务总局深圳市税务局开具的前一年度发票的产品种类、数量等数据，此数据仅用于核对企业申报“广东省工业用水前一年度用水效率达到国家用水定额先进值的水资源税纳税人”填报数据的真实性。</w:t>
      </w:r>
    </w:p>
    <w:p w14:paraId="30C1B523">
      <w:pPr>
        <w:jc w:val="both"/>
        <w:rPr>
          <w:rFonts w:hint="eastAsia" w:ascii="仿宋_GB2312" w:hAnsi="仿宋_GB2312" w:eastAsia="仿宋_GB2312" w:cs="仿宋_GB2312"/>
          <w:b w:val="0"/>
          <w:bCs w:val="0"/>
          <w:color w:val="auto"/>
          <w:sz w:val="32"/>
          <w:szCs w:val="32"/>
          <w:lang w:val="en-US" w:eastAsia="zh-CN"/>
        </w:rPr>
      </w:pPr>
    </w:p>
    <w:p w14:paraId="5A703273">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授权期限：自签发日起至广东省年度用水效率达到国家用水定额先进值水资源税纳税人名单公布日止</w:t>
      </w:r>
    </w:p>
    <w:p w14:paraId="2C24363A">
      <w:pPr>
        <w:jc w:val="both"/>
        <w:rPr>
          <w:rFonts w:hint="eastAsia" w:ascii="仿宋_GB2312" w:hAnsi="仿宋_GB2312" w:eastAsia="仿宋_GB2312" w:cs="仿宋_GB2312"/>
          <w:b w:val="0"/>
          <w:bCs w:val="0"/>
          <w:color w:val="auto"/>
          <w:sz w:val="32"/>
          <w:szCs w:val="32"/>
          <w:lang w:val="en-US" w:eastAsia="zh-CN"/>
        </w:rPr>
      </w:pPr>
    </w:p>
    <w:p w14:paraId="3D98CE6A">
      <w:pPr>
        <w:jc w:val="both"/>
        <w:rPr>
          <w:rFonts w:hint="eastAsia" w:ascii="仿宋_GB2312" w:hAnsi="仿宋_GB2312" w:eastAsia="仿宋_GB2312" w:cs="仿宋_GB2312"/>
          <w:b w:val="0"/>
          <w:bCs w:val="0"/>
          <w:color w:val="auto"/>
          <w:sz w:val="32"/>
          <w:szCs w:val="32"/>
          <w:lang w:val="en-US" w:eastAsia="zh-CN"/>
        </w:rPr>
      </w:pPr>
    </w:p>
    <w:p w14:paraId="16FF5080">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授权企业印章：</w:t>
      </w:r>
    </w:p>
    <w:p w14:paraId="5519715B">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授权企业法人：</w:t>
      </w:r>
    </w:p>
    <w:p w14:paraId="4D2DB3A5">
      <w:pPr>
        <w:ind w:firstLine="640" w:firstLineChars="200"/>
        <w:jc w:val="center"/>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 xml:space="preserve"> 签发日期：</w:t>
      </w:r>
    </w:p>
    <w:p w14:paraId="4097192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221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5A7BC2">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55A7BC2">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36D8D"/>
    <w:rsid w:val="0A336D8D"/>
    <w:rsid w:val="66B3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99"/>
  </w:style>
  <w:style w:type="paragraph" w:customStyle="1" w:styleId="7">
    <w:name w:val="纯文本1"/>
    <w:basedOn w:val="1"/>
    <w:qFormat/>
    <w:uiPriority w:val="0"/>
    <w:pPr>
      <w:widowControl/>
      <w:textAlignment w:val="baseline"/>
    </w:pPr>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2025-10-31T07:11:00Z</dcterms:created>
  <dc:creator>子豪</dc:creator>
  <cp:lastModifiedBy>鹿港</cp:lastModifiedBy>
  <dcterms:modified xsi:type="dcterms:W3CDTF">2025-12-05T08:02:11Z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24E58E94CDCD4B4685FF009952CE2996_13</vt:lpwstr>
  </property>
</Properties>
</file>