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378F">
      <w:pPr>
        <w:pStyle w:val="4"/>
        <w:spacing w:before="3"/>
        <w:jc w:val="center"/>
        <w:rPr>
          <w:rFonts w:hint="eastAsia" w:ascii="黑体" w:hAnsi="黑体" w:eastAsia="黑体"/>
          <w:b/>
          <w:bCs/>
          <w:color w:val="EE0000"/>
          <w:sz w:val="44"/>
          <w:szCs w:val="44"/>
          <w:lang w:eastAsia="zh-CN"/>
        </w:rPr>
      </w:pPr>
      <w:r>
        <w:rPr>
          <w:rFonts w:asciiTheme="minorEastAsia" w:hAnsiTheme="minorEastAsia"/>
          <w:b/>
          <w:sz w:val="44"/>
          <w:szCs w:val="44"/>
        </w:rPr>
        <w:pict>
          <v:group id="_x0000_s2050" o:spid="_x0000_s2050" o:spt="203" style="position:absolute;left:0pt;margin-left:-2.1pt;margin-top:-12pt;height:59.25pt;width:473.25pt;z-index:251660288;mso-width-relative:page;mso-height-relative:page;" coordorigin="1188,1665" coordsize="9465,1185">
            <o:lock v:ext="edit"/>
            <v:shape id="_x0000_s2051" o:spid="_x0000_s2051" o:spt="136" type="#_x0000_t136" style="position:absolute;left:1605;top:1665;height:855;width:8655;" fillcolor="#FF5050" filled="t" stroked="f" coordsize="21600,21600">
              <v:path/>
              <v:fill on="t" focussize="0,0"/>
              <v:stroke on="f"/>
              <v:imagedata o:title=""/>
              <o:lock v:ext="edit"/>
              <v:textpath on="t" fitshape="t" fitpath="t" trim="t" xscale="f" string="台 山 市 自 然 资 源 局" style="font-family:华文中宋;font-size:36pt;v-text-align:center;"/>
            </v:shape>
            <v:shape id="_x0000_s2052" o:spid="_x0000_s2052" o:spt="32" type="#_x0000_t32" style="position:absolute;left:1188;top:2760;height:0;width:9465;" filled="f" stroked="t" coordsize="21600,21600">
              <v:path arrowok="t"/>
              <v:fill on="f" focussize="0,0"/>
              <v:stroke weight="2.25pt" color="#FF5050"/>
              <v:imagedata o:title=""/>
              <o:lock v:ext="edit"/>
            </v:shape>
            <v:shape id="_x0000_s2053" o:spid="_x0000_s2053" o:spt="32" type="#_x0000_t32" style="position:absolute;left:1188;top:2850;height:0;width:9465;" filled="f" stroked="t" coordsize="21600,21600">
              <v:path arrowok="t"/>
              <v:fill on="f" focussize="0,0"/>
              <v:stroke weight="1pt" color="#FF5050"/>
              <v:imagedata o:title=""/>
              <o:lock v:ext="edit"/>
            </v:shape>
          </v:group>
        </w:pict>
      </w:r>
    </w:p>
    <w:p w14:paraId="287BF284">
      <w:pPr>
        <w:pStyle w:val="4"/>
        <w:spacing w:before="3"/>
        <w:jc w:val="center"/>
        <w:rPr>
          <w:rFonts w:hint="eastAsia" w:ascii="黑体" w:hAnsi="黑体" w:eastAsia="黑体"/>
          <w:b/>
          <w:bCs/>
          <w:color w:val="EE0000"/>
          <w:sz w:val="44"/>
          <w:szCs w:val="44"/>
          <w:lang w:eastAsia="zh-CN"/>
        </w:rPr>
      </w:pPr>
    </w:p>
    <w:p w14:paraId="07A9EFAE">
      <w:pPr>
        <w:pStyle w:val="4"/>
        <w:keepNext w:val="0"/>
        <w:keepLines w:val="0"/>
        <w:pageBreakBefore w:val="0"/>
        <w:kinsoku/>
        <w:wordWrap/>
        <w:overflowPunct/>
        <w:topLinePunct w:val="0"/>
        <w:bidi w:val="0"/>
        <w:spacing w:before="3" w:line="500" w:lineRule="exact"/>
        <w:jc w:val="center"/>
        <w:textAlignment w:val="auto"/>
        <w:rPr>
          <w:rFonts w:hint="eastAsia" w:ascii="黑体" w:hAnsi="黑体" w:eastAsia="黑体"/>
          <w:b/>
          <w:bCs/>
          <w:sz w:val="44"/>
          <w:szCs w:val="44"/>
          <w:lang w:eastAsia="zh-CN"/>
        </w:rPr>
      </w:pPr>
      <w:r>
        <w:rPr>
          <w:rFonts w:hint="eastAsia" w:ascii="黑体" w:hAnsi="黑体" w:eastAsia="黑体"/>
          <w:b/>
          <w:bCs/>
          <w:sz w:val="44"/>
          <w:szCs w:val="44"/>
          <w:lang w:eastAsia="zh-CN"/>
        </w:rPr>
        <w:t>江门市台山市2</w:t>
      </w:r>
      <w:r>
        <w:rPr>
          <w:rFonts w:ascii="黑体" w:hAnsi="黑体" w:eastAsia="黑体"/>
          <w:b/>
          <w:bCs/>
          <w:sz w:val="44"/>
          <w:szCs w:val="44"/>
          <w:lang w:eastAsia="zh-CN"/>
        </w:rPr>
        <w:t>0</w:t>
      </w:r>
      <w:r>
        <w:rPr>
          <w:rFonts w:hint="eastAsia" w:ascii="黑体" w:hAnsi="黑体" w:eastAsia="黑体"/>
          <w:b/>
          <w:bCs/>
          <w:sz w:val="44"/>
          <w:szCs w:val="44"/>
          <w:lang w:eastAsia="zh-CN"/>
        </w:rPr>
        <w:t>25年度土地征收成片开发</w:t>
      </w:r>
    </w:p>
    <w:p w14:paraId="1492B59D">
      <w:pPr>
        <w:pStyle w:val="4"/>
        <w:keepNext w:val="0"/>
        <w:keepLines w:val="0"/>
        <w:pageBreakBefore w:val="0"/>
        <w:kinsoku/>
        <w:wordWrap/>
        <w:overflowPunct/>
        <w:topLinePunct w:val="0"/>
        <w:bidi w:val="0"/>
        <w:spacing w:before="3" w:line="500" w:lineRule="exact"/>
        <w:jc w:val="center"/>
        <w:textAlignment w:val="auto"/>
        <w:rPr>
          <w:rFonts w:hint="eastAsia" w:ascii="黑体" w:hAnsi="黑体" w:eastAsia="黑体"/>
          <w:b/>
          <w:bCs/>
          <w:sz w:val="44"/>
          <w:szCs w:val="44"/>
          <w:lang w:eastAsia="zh-CN"/>
        </w:rPr>
      </w:pPr>
      <w:r>
        <w:rPr>
          <w:rFonts w:hint="eastAsia" w:ascii="黑体" w:hAnsi="黑体" w:eastAsia="黑体"/>
          <w:b/>
          <w:bCs/>
          <w:sz w:val="44"/>
          <w:szCs w:val="44"/>
          <w:lang w:eastAsia="zh-CN"/>
        </w:rPr>
        <w:t>方案（第三批）（草案）</w:t>
      </w:r>
    </w:p>
    <w:p w14:paraId="69B3B6F3">
      <w:pPr>
        <w:pStyle w:val="4"/>
        <w:keepNext w:val="0"/>
        <w:keepLines w:val="0"/>
        <w:pageBreakBefore w:val="0"/>
        <w:kinsoku/>
        <w:wordWrap/>
        <w:overflowPunct/>
        <w:topLinePunct w:val="0"/>
        <w:bidi w:val="0"/>
        <w:spacing w:before="3" w:line="500" w:lineRule="exact"/>
        <w:jc w:val="center"/>
        <w:textAlignment w:val="auto"/>
        <w:rPr>
          <w:rFonts w:hint="eastAsia" w:ascii="黑体" w:hAnsi="黑体" w:eastAsia="黑体"/>
          <w:b/>
          <w:bCs/>
          <w:sz w:val="44"/>
          <w:szCs w:val="44"/>
          <w:lang w:eastAsia="zh-CN"/>
        </w:rPr>
      </w:pPr>
    </w:p>
    <w:p w14:paraId="5B4DF30B">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一、编制依据</w:t>
      </w:r>
    </w:p>
    <w:p w14:paraId="5871D0E0">
      <w:pPr>
        <w:keepNext w:val="0"/>
        <w:keepLines w:val="0"/>
        <w:pageBreakBefore w:val="0"/>
        <w:kinsoku/>
        <w:wordWrap/>
        <w:overflowPunct/>
        <w:topLinePunct w:val="0"/>
        <w:bidi w:val="0"/>
        <w:spacing w:line="500" w:lineRule="exact"/>
        <w:ind w:firstLine="560" w:firstLineChars="200"/>
        <w:jc w:val="both"/>
        <w:textAlignment w:val="auto"/>
        <w:rPr>
          <w:rFonts w:hint="eastAsia"/>
          <w:lang w:eastAsia="zh-CN"/>
        </w:rPr>
      </w:pPr>
      <w:r>
        <w:rPr>
          <w:rFonts w:ascii="Times New Roman" w:hAnsi="Times New Roman" w:cs="Times New Roman"/>
          <w:sz w:val="28"/>
          <w:szCs w:val="28"/>
          <w:lang w:eastAsia="zh-CN"/>
        </w:rPr>
        <w:t>依据</w:t>
      </w:r>
      <w:bookmarkStart w:id="0" w:name="_Hlk204436604"/>
      <w:r>
        <w:rPr>
          <w:rFonts w:ascii="Times New Roman" w:hAnsi="Times New Roman" w:cs="Times New Roman"/>
          <w:sz w:val="28"/>
          <w:szCs w:val="28"/>
          <w:lang w:eastAsia="zh-CN"/>
        </w:rPr>
        <w:t>《中华人民共和国土地管理法》（2019年修订）、</w:t>
      </w:r>
      <w:r>
        <w:rPr>
          <w:rFonts w:hint="eastAsia" w:ascii="Times New Roman" w:hAnsi="Times New Roman" w:cs="Times New Roman"/>
          <w:sz w:val="28"/>
          <w:szCs w:val="28"/>
          <w:lang w:eastAsia="zh-CN"/>
        </w:rPr>
        <w:t>《自然资源部关于印发</w:t>
      </w:r>
      <w:r>
        <w:rPr>
          <w:rFonts w:ascii="Times New Roman" w:hAnsi="Times New Roman" w:cs="Times New Roman"/>
          <w:sz w:val="28"/>
          <w:szCs w:val="28"/>
          <w:lang w:eastAsia="zh-CN"/>
        </w:rPr>
        <w:t>&lt;土地征收成片开发标准&gt;的通知》（自然资规〔2023〕7号）、</w:t>
      </w:r>
      <w:r>
        <w:rPr>
          <w:rFonts w:hint="eastAsia" w:ascii="Times New Roman" w:hAnsi="Times New Roman" w:cs="Times New Roman"/>
          <w:sz w:val="28"/>
          <w:szCs w:val="28"/>
          <w:lang w:eastAsia="zh-CN"/>
        </w:rPr>
        <w:t>《广东省自然资源厅关于进一步规范土地征收成片开发工作的通知》（粤自然资规字〔2024〕7号）</w:t>
      </w:r>
      <w:bookmarkEnd w:id="0"/>
      <w:r>
        <w:rPr>
          <w:rFonts w:hint="eastAsia" w:ascii="Times New Roman" w:hAnsi="Times New Roman" w:cs="Times New Roman"/>
          <w:sz w:val="28"/>
          <w:szCs w:val="28"/>
          <w:lang w:eastAsia="zh-CN"/>
        </w:rPr>
        <w:t>等相关文件，</w:t>
      </w:r>
      <w:r>
        <w:rPr>
          <w:rFonts w:ascii="Times New Roman" w:hAnsi="Times New Roman" w:cs="Times New Roman"/>
          <w:sz w:val="28"/>
          <w:szCs w:val="28"/>
          <w:lang w:eastAsia="zh-CN"/>
        </w:rPr>
        <w:t>编制《江门市台山市20</w:t>
      </w:r>
      <w:r>
        <w:rPr>
          <w:rFonts w:hint="eastAsia" w:ascii="Times New Roman" w:hAnsi="Times New Roman" w:cs="Times New Roman"/>
          <w:sz w:val="28"/>
          <w:szCs w:val="28"/>
          <w:lang w:eastAsia="zh-CN"/>
        </w:rPr>
        <w:t>25</w:t>
      </w:r>
      <w:r>
        <w:rPr>
          <w:rFonts w:ascii="Times New Roman" w:hAnsi="Times New Roman" w:cs="Times New Roman"/>
          <w:sz w:val="28"/>
          <w:szCs w:val="28"/>
          <w:lang w:eastAsia="zh-CN"/>
        </w:rPr>
        <w:t>年度土地征收成片开发方案</w:t>
      </w:r>
      <w:r>
        <w:rPr>
          <w:rFonts w:hint="eastAsia" w:ascii="Times New Roman" w:hAnsi="Times New Roman" w:cs="Times New Roman"/>
          <w:sz w:val="28"/>
          <w:szCs w:val="28"/>
          <w:lang w:eastAsia="zh-CN"/>
        </w:rPr>
        <w:t>（第三批）</w:t>
      </w:r>
      <w:r>
        <w:rPr>
          <w:rFonts w:ascii="Times New Roman" w:hAnsi="Times New Roman" w:cs="Times New Roman"/>
          <w:sz w:val="28"/>
          <w:szCs w:val="28"/>
          <w:lang w:eastAsia="zh-CN"/>
        </w:rPr>
        <w:t>》</w:t>
      </w:r>
      <w:r>
        <w:rPr>
          <w:rFonts w:hint="eastAsia" w:ascii="Times New Roman" w:hAnsi="Times New Roman" w:cs="Times New Roman"/>
          <w:sz w:val="28"/>
          <w:szCs w:val="28"/>
          <w:lang w:eastAsia="zh-CN"/>
        </w:rPr>
        <w:t>（以下简称</w:t>
      </w:r>
      <w:bookmarkStart w:id="1" w:name="_Hlk170476789"/>
      <w:r>
        <w:rPr>
          <w:rFonts w:hint="eastAsia" w:ascii="Times New Roman" w:hAnsi="Times New Roman" w:cs="Times New Roman"/>
          <w:sz w:val="28"/>
          <w:szCs w:val="28"/>
          <w:lang w:eastAsia="zh-CN"/>
        </w:rPr>
        <w:t>《方案》</w:t>
      </w:r>
      <w:bookmarkEnd w:id="1"/>
      <w:r>
        <w:rPr>
          <w:rFonts w:hint="eastAsia" w:ascii="Times New Roman" w:hAnsi="Times New Roman" w:cs="Times New Roman"/>
          <w:sz w:val="28"/>
          <w:szCs w:val="28"/>
          <w:lang w:eastAsia="zh-CN"/>
        </w:rPr>
        <w:t>），本次《方案》为省级人民政府批准设立产业园的成片开发方案单独组卷</w:t>
      </w:r>
      <w:r>
        <w:rPr>
          <w:lang w:eastAsia="zh-CN"/>
        </w:rPr>
        <w:t>。</w:t>
      </w:r>
    </w:p>
    <w:p w14:paraId="21670016">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二、基本情况</w:t>
      </w:r>
    </w:p>
    <w:p w14:paraId="077B1640">
      <w:pPr>
        <w:pStyle w:val="4"/>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（一）区域位置</w:t>
      </w:r>
    </w:p>
    <w:p w14:paraId="0E0A69B5">
      <w:pPr>
        <w:pStyle w:val="4"/>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本次</w:t>
      </w:r>
      <w:r>
        <w:rPr>
          <w:rFonts w:hint="eastAsia" w:ascii="Times New Roman" w:hAnsi="Times New Roman" w:cs="Times New Roman"/>
          <w:lang w:eastAsia="zh-CN"/>
        </w:rPr>
        <w:t>《方案》编制范围</w:t>
      </w:r>
      <w:r>
        <w:rPr>
          <w:rFonts w:ascii="Times New Roman" w:hAnsi="Times New Roman" w:cs="Times New Roman"/>
          <w:lang w:eastAsia="zh-CN"/>
        </w:rPr>
        <w:t>位于台山市行政区划范围内</w:t>
      </w:r>
      <w:r>
        <w:rPr>
          <w:rFonts w:hint="eastAsia" w:ascii="Times New Roman" w:hAnsi="Times New Roman" w:cs="Times New Roman"/>
          <w:lang w:eastAsia="zh-CN"/>
        </w:rPr>
        <w:t>，</w:t>
      </w:r>
      <w:r>
        <w:rPr>
          <w:rFonts w:ascii="Times New Roman" w:hAnsi="Times New Roman" w:cs="Times New Roman"/>
          <w:lang w:eastAsia="zh-CN"/>
        </w:rPr>
        <w:t>共划定</w:t>
      </w:r>
      <w:r>
        <w:rPr>
          <w:rFonts w:hint="eastAsia" w:ascii="Times New Roman" w:hAnsi="Times New Roman" w:cs="Times New Roman"/>
          <w:lang w:eastAsia="zh-CN"/>
        </w:rPr>
        <w:t>1</w:t>
      </w:r>
      <w:r>
        <w:rPr>
          <w:rFonts w:ascii="Times New Roman" w:hAnsi="Times New Roman" w:cs="Times New Roman"/>
          <w:lang w:eastAsia="zh-CN"/>
        </w:rPr>
        <w:t>个成片开发范围</w:t>
      </w:r>
      <w:r>
        <w:rPr>
          <w:rFonts w:hint="eastAsia" w:ascii="Times New Roman" w:hAnsi="Times New Roman" w:cs="Times New Roman"/>
          <w:lang w:eastAsia="zh-CN"/>
        </w:rPr>
        <w:t>。</w:t>
      </w:r>
      <w:r>
        <w:rPr>
          <w:rFonts w:ascii="Times New Roman" w:hAnsi="Times New Roman" w:cs="Times New Roman"/>
          <w:lang w:eastAsia="zh-CN"/>
        </w:rPr>
        <w:t>片区位置详见下表</w:t>
      </w:r>
      <w:r>
        <w:rPr>
          <w:rFonts w:hint="eastAsia" w:ascii="Times New Roman" w:hAnsi="Times New Roman" w:cs="Times New Roman"/>
          <w:lang w:eastAsia="zh-CN"/>
        </w:rPr>
        <w:t>：</w:t>
      </w:r>
    </w:p>
    <w:p w14:paraId="2DB13696">
      <w:pPr>
        <w:pStyle w:val="4"/>
        <w:keepNext w:val="0"/>
        <w:keepLines w:val="0"/>
        <w:pageBreakBefore w:val="0"/>
        <w:kinsoku/>
        <w:wordWrap/>
        <w:overflowPunct/>
        <w:topLinePunct w:val="0"/>
        <w:bidi w:val="0"/>
        <w:spacing w:before="1" w:line="500" w:lineRule="exact"/>
        <w:jc w:val="center"/>
        <w:textAlignment w:val="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表1</w:t>
      </w:r>
      <w:r>
        <w:rPr>
          <w:rFonts w:hint="eastAsia"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 xml:space="preserve"> 片区概况汇总表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780"/>
        <w:gridCol w:w="1452"/>
        <w:gridCol w:w="3293"/>
      </w:tblGrid>
      <w:tr w14:paraId="22B6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90" w:type="pct"/>
            <w:vAlign w:val="center"/>
          </w:tcPr>
          <w:p w14:paraId="0050ACA8">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序号</w:t>
            </w:r>
          </w:p>
        </w:tc>
        <w:tc>
          <w:tcPr>
            <w:tcW w:w="2044" w:type="pct"/>
            <w:vAlign w:val="center"/>
          </w:tcPr>
          <w:p w14:paraId="31FC6713">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名称</w:t>
            </w:r>
          </w:p>
        </w:tc>
        <w:tc>
          <w:tcPr>
            <w:tcW w:w="785" w:type="pct"/>
            <w:vAlign w:val="center"/>
          </w:tcPr>
          <w:p w14:paraId="5CACCB7B">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位置</w:t>
            </w:r>
          </w:p>
        </w:tc>
        <w:tc>
          <w:tcPr>
            <w:tcW w:w="1781" w:type="pct"/>
            <w:vAlign w:val="center"/>
          </w:tcPr>
          <w:p w14:paraId="3B0B06A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b/>
                <w:bCs/>
                <w:color w:val="000000"/>
                <w:sz w:val="24"/>
                <w:szCs w:val="24"/>
                <w:lang w:eastAsia="zh-CN"/>
              </w:rPr>
            </w:pPr>
            <w:r>
              <w:rPr>
                <w:rFonts w:hint="eastAsia" w:ascii="Times New Roman" w:hAnsi="Times New Roman" w:cs="Times New Roman"/>
                <w:b/>
                <w:bCs/>
                <w:color w:val="000000"/>
                <w:sz w:val="24"/>
                <w:szCs w:val="24"/>
                <w:lang w:eastAsia="zh-CN"/>
              </w:rPr>
              <w:t>成片开发范围</w:t>
            </w:r>
            <w:r>
              <w:rPr>
                <w:rFonts w:ascii="Times New Roman" w:hAnsi="Times New Roman" w:cs="Times New Roman"/>
                <w:b/>
                <w:bCs/>
                <w:color w:val="000000"/>
                <w:sz w:val="24"/>
                <w:szCs w:val="24"/>
                <w:lang w:eastAsia="zh-CN"/>
              </w:rPr>
              <w:t>面积（公顷）</w:t>
            </w:r>
          </w:p>
        </w:tc>
      </w:tr>
      <w:tr w14:paraId="6DBB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noWrap/>
            <w:vAlign w:val="center"/>
          </w:tcPr>
          <w:p w14:paraId="553A2CDE">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w:t>
            </w:r>
          </w:p>
        </w:tc>
        <w:tc>
          <w:tcPr>
            <w:tcW w:w="2044" w:type="pct"/>
            <w:vAlign w:val="center"/>
          </w:tcPr>
          <w:p w14:paraId="33D81219">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color w:val="000000"/>
                <w:sz w:val="24"/>
                <w:szCs w:val="24"/>
                <w:lang w:eastAsia="zh-CN"/>
              </w:rPr>
            </w:pPr>
            <w:r>
              <w:rPr>
                <w:rFonts w:hint="eastAsia"/>
                <w:color w:val="000000"/>
                <w:sz w:val="24"/>
                <w:szCs w:val="24"/>
                <w:lang w:eastAsia="zh-CN"/>
              </w:rPr>
              <w:t>台山产业转移工业园扩园沙坑村片区</w:t>
            </w:r>
          </w:p>
        </w:tc>
        <w:tc>
          <w:tcPr>
            <w:tcW w:w="785" w:type="pct"/>
            <w:vAlign w:val="center"/>
          </w:tcPr>
          <w:p w14:paraId="6992397B">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color w:val="000000"/>
                <w:sz w:val="24"/>
                <w:szCs w:val="24"/>
                <w:lang w:eastAsia="zh-CN"/>
              </w:rPr>
            </w:pPr>
            <w:r>
              <w:rPr>
                <w:rFonts w:hint="eastAsia" w:ascii="Times New Roman" w:hAnsi="Times New Roman" w:cs="Times New Roman"/>
                <w:sz w:val="24"/>
                <w:szCs w:val="24"/>
                <w:lang w:eastAsia="zh-CN"/>
              </w:rPr>
              <w:t>台城街道</w:t>
            </w:r>
          </w:p>
        </w:tc>
        <w:tc>
          <w:tcPr>
            <w:tcW w:w="1781" w:type="pct"/>
            <w:noWrap/>
            <w:vAlign w:val="center"/>
          </w:tcPr>
          <w:p w14:paraId="033B0D9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Times New Roman" w:hAnsi="Times New Roman" w:cs="Times New Roman"/>
                <w:color w:val="000000"/>
                <w:sz w:val="24"/>
                <w:szCs w:val="24"/>
                <w:lang w:eastAsia="zh-CN"/>
              </w:rPr>
            </w:pPr>
            <w:r>
              <w:rPr>
                <w:rFonts w:hint="eastAsia" w:ascii="Times New Roman" w:hAnsi="Times New Roman" w:cs="Times New Roman"/>
                <w:sz w:val="24"/>
                <w:szCs w:val="24"/>
                <w:lang w:eastAsia="zh-CN"/>
              </w:rPr>
              <w:t>37.4187</w:t>
            </w:r>
          </w:p>
        </w:tc>
      </w:tr>
      <w:tr w14:paraId="3315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19" w:type="pct"/>
            <w:gridSpan w:val="3"/>
            <w:noWrap/>
            <w:vAlign w:val="center"/>
          </w:tcPr>
          <w:p w14:paraId="58057477">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sz w:val="24"/>
                <w:szCs w:val="24"/>
                <w:lang w:eastAsia="zh-CN"/>
              </w:rPr>
            </w:pPr>
            <w:r>
              <w:rPr>
                <w:rFonts w:hint="eastAsia" w:ascii="Times New Roman" w:hAnsi="Times New Roman" w:cs="Times New Roman"/>
                <w:sz w:val="24"/>
                <w:szCs w:val="24"/>
                <w:lang w:eastAsia="zh-CN"/>
              </w:rPr>
              <w:t>合计</w:t>
            </w:r>
          </w:p>
        </w:tc>
        <w:tc>
          <w:tcPr>
            <w:tcW w:w="1781" w:type="pct"/>
            <w:noWrap/>
            <w:vAlign w:val="center"/>
          </w:tcPr>
          <w:p w14:paraId="6451D996">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ascii="Times New Roman" w:hAnsi="Times New Roman" w:cs="Times New Roman"/>
                <w:sz w:val="24"/>
                <w:szCs w:val="24"/>
                <w:lang w:eastAsia="zh-CN"/>
              </w:rPr>
            </w:pPr>
            <w:r>
              <w:rPr>
                <w:rFonts w:hint="eastAsia" w:ascii="Times New Roman" w:hAnsi="Times New Roman" w:cs="Times New Roman"/>
                <w:sz w:val="24"/>
                <w:szCs w:val="24"/>
                <w:lang w:eastAsia="zh-CN"/>
              </w:rPr>
              <w:t>37.4187</w:t>
            </w:r>
          </w:p>
        </w:tc>
      </w:tr>
    </w:tbl>
    <w:p w14:paraId="054B31FC">
      <w:pPr>
        <w:pStyle w:val="4"/>
        <w:keepNext w:val="0"/>
        <w:keepLines w:val="0"/>
        <w:pageBreakBefore w:val="0"/>
        <w:kinsoku/>
        <w:wordWrap/>
        <w:overflowPunct/>
        <w:topLinePunct w:val="0"/>
        <w:bidi w:val="0"/>
        <w:spacing w:before="86"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（二）开发范围</w:t>
      </w:r>
    </w:p>
    <w:p w14:paraId="67388DD4">
      <w:pPr>
        <w:pStyle w:val="4"/>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w w:val="99"/>
          <w:lang w:eastAsia="zh-CN"/>
        </w:rPr>
      </w:pPr>
      <w:r>
        <w:rPr>
          <w:rFonts w:ascii="Times New Roman" w:hAnsi="Times New Roman" w:cs="Times New Roman"/>
          <w:lang w:eastAsia="zh-CN"/>
        </w:rPr>
        <w:t>本次土地征收成片开发</w:t>
      </w:r>
      <w:r>
        <w:rPr>
          <w:rFonts w:hint="eastAsia" w:ascii="Times New Roman" w:hAnsi="Times New Roman" w:cs="Times New Roman"/>
          <w:lang w:eastAsia="zh-CN"/>
        </w:rPr>
        <w:t>范围总</w:t>
      </w:r>
      <w:r>
        <w:rPr>
          <w:rFonts w:ascii="Times New Roman" w:hAnsi="Times New Roman" w:cs="Times New Roman"/>
          <w:lang w:eastAsia="zh-CN"/>
        </w:rPr>
        <w:t>面</w:t>
      </w:r>
      <w:r>
        <w:rPr>
          <w:rFonts w:hint="eastAsia" w:ascii="Times New Roman" w:hAnsi="Times New Roman" w:cs="Times New Roman"/>
          <w:lang w:eastAsia="zh-CN"/>
        </w:rPr>
        <w:t>37.4187</w:t>
      </w:r>
      <w:r>
        <w:rPr>
          <w:rFonts w:ascii="Times New Roman" w:hAnsi="Times New Roman" w:cs="Times New Roman"/>
          <w:lang w:eastAsia="zh-CN"/>
        </w:rPr>
        <w:t>公顷，</w:t>
      </w:r>
      <w:r>
        <w:rPr>
          <w:rFonts w:hint="eastAsia" w:ascii="Times New Roman" w:hAnsi="Times New Roman" w:cs="Times New Roman"/>
          <w:lang w:eastAsia="zh-CN"/>
        </w:rPr>
        <w:t>其中农用地面积35.0282公顷（其中耕地0.4929公顷）、建设用地面积2.3905公顷。</w:t>
      </w:r>
      <w:r>
        <w:rPr>
          <w:rFonts w:ascii="Times New Roman" w:hAnsi="Times New Roman" w:cs="Times New Roman"/>
          <w:lang w:eastAsia="zh-CN"/>
        </w:rPr>
        <w:t>拟征收集体土地</w:t>
      </w:r>
      <w:r>
        <w:rPr>
          <w:rFonts w:hint="eastAsia" w:ascii="Times New Roman" w:hAnsi="Times New Roman" w:cs="Times New Roman"/>
          <w:lang w:eastAsia="zh-CN"/>
        </w:rPr>
        <w:t>35.5381</w:t>
      </w:r>
      <w:r>
        <w:rPr>
          <w:rFonts w:ascii="Times New Roman" w:hAnsi="Times New Roman" w:cs="Times New Roman"/>
          <w:lang w:eastAsia="zh-CN"/>
        </w:rPr>
        <w:t>公顷</w:t>
      </w:r>
      <w:r>
        <w:rPr>
          <w:rFonts w:ascii="Times New Roman" w:hAnsi="Times New Roman" w:cs="Times New Roman"/>
          <w:w w:val="99"/>
          <w:lang w:eastAsia="zh-CN"/>
        </w:rPr>
        <w:t>。</w:t>
      </w:r>
    </w:p>
    <w:p w14:paraId="36123708">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三、成片开发条件分析</w:t>
      </w:r>
    </w:p>
    <w:p w14:paraId="73D5FBFB">
      <w:pPr>
        <w:pStyle w:val="4"/>
        <w:keepNext w:val="0"/>
        <w:keepLines w:val="0"/>
        <w:pageBreakBefore w:val="0"/>
        <w:kinsoku/>
        <w:wordWrap/>
        <w:overflowPunct/>
        <w:topLinePunct w:val="0"/>
        <w:bidi w:val="0"/>
        <w:spacing w:before="86"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（一）必要性分析</w:t>
      </w:r>
    </w:p>
    <w:p w14:paraId="551F0948">
      <w:pPr>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sz w:val="28"/>
          <w:szCs w:val="28"/>
          <w:lang w:eastAsia="zh-CN" w:bidi="zh-CN"/>
        </w:rPr>
      </w:pPr>
      <w:r>
        <w:rPr>
          <w:rFonts w:ascii="Times New Roman" w:hAnsi="Times New Roman" w:cs="Times New Roman"/>
          <w:sz w:val="28"/>
          <w:szCs w:val="28"/>
          <w:lang w:eastAsia="zh-CN" w:bidi="zh-CN"/>
        </w:rPr>
        <w:t>本次土地征收成片开发</w:t>
      </w:r>
      <w:r>
        <w:rPr>
          <w:rFonts w:hint="eastAsia" w:ascii="Times New Roman" w:hAnsi="Times New Roman" w:cs="Times New Roman"/>
          <w:sz w:val="28"/>
          <w:szCs w:val="28"/>
          <w:lang w:eastAsia="zh-CN" w:bidi="zh-CN"/>
        </w:rPr>
        <w:t>聚焦新旧动能转换，大力实施“科技引领”工程，深入推进国家创新型县（市）建设，提升平台创新能力，激发主体创新活力，释放人才创新潜力，优化创新生态环境；大力发展实体经济，深入推进“工业振兴”工程，做强优势、做全链条，加快集聚步伐，壮大骨干企业，精准招商引资，完善现代产业体系；高效推动组团建设，深入实施“园区再造”工程，坚持规划先行，健全运营管理，尽快见到成效，力促园区提质升级；坚持内外双向发力，主动服务港澳，科学发挥侨力，畅通经济循环，稳步推进“双碳”，持续深化改革开放；破解区域发展壁垒，贯彻落实江门东西部合作机制，高标准打造三大副中心，改善城镇宜居生活品质，深入实施乡村振兴战略，推动城乡融合互促。</w:t>
      </w:r>
    </w:p>
    <w:p w14:paraId="2DEAB415">
      <w:pPr>
        <w:pStyle w:val="4"/>
        <w:keepNext w:val="0"/>
        <w:keepLines w:val="0"/>
        <w:pageBreakBefore w:val="0"/>
        <w:kinsoku/>
        <w:wordWrap/>
        <w:overflowPunct/>
        <w:topLinePunct w:val="0"/>
        <w:bidi w:val="0"/>
        <w:spacing w:before="86"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（二）合规性分析</w:t>
      </w:r>
    </w:p>
    <w:p w14:paraId="08017A8E">
      <w:pPr>
        <w:keepNext w:val="0"/>
        <w:keepLines w:val="0"/>
        <w:pageBreakBefore w:val="0"/>
        <w:kinsoku/>
        <w:wordWrap/>
        <w:overflowPunct/>
        <w:topLinePunct w:val="0"/>
        <w:bidi w:val="0"/>
        <w:adjustRightInd w:val="0"/>
        <w:snapToGrid w:val="0"/>
        <w:spacing w:line="500" w:lineRule="exact"/>
        <w:ind w:firstLine="544" w:firstLineChars="200"/>
        <w:jc w:val="both"/>
        <w:textAlignment w:val="auto"/>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1.《方案》成片开发范围不涉及占用永久基本农田和生态保护红线，符合土地征收成片开发相关政策的要求。</w:t>
      </w:r>
    </w:p>
    <w:p w14:paraId="1C3961B7">
      <w:pPr>
        <w:keepNext w:val="0"/>
        <w:keepLines w:val="0"/>
        <w:pageBreakBefore w:val="0"/>
        <w:kinsoku/>
        <w:wordWrap/>
        <w:overflowPunct/>
        <w:topLinePunct w:val="0"/>
        <w:bidi w:val="0"/>
        <w:adjustRightInd w:val="0"/>
        <w:snapToGrid w:val="0"/>
        <w:spacing w:line="500" w:lineRule="exact"/>
        <w:ind w:firstLine="544" w:firstLineChars="200"/>
        <w:jc w:val="both"/>
        <w:textAlignment w:val="auto"/>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2.台山市</w:t>
      </w:r>
      <w:r>
        <w:rPr>
          <w:rFonts w:ascii="Times New Roman" w:hAnsi="Times New Roman" w:cs="Times New Roman"/>
          <w:spacing w:val="-4"/>
          <w:sz w:val="28"/>
          <w:szCs w:val="28"/>
          <w:lang w:val="zh-CN" w:eastAsia="zh-CN" w:bidi="zh-CN"/>
        </w:rPr>
        <w:t>近五年平均供地率为</w:t>
      </w:r>
      <w:r>
        <w:rPr>
          <w:rFonts w:hint="eastAsia" w:ascii="Times New Roman" w:hAnsi="Times New Roman" w:cs="Times New Roman"/>
          <w:spacing w:val="-4"/>
          <w:sz w:val="28"/>
          <w:szCs w:val="28"/>
          <w:lang w:val="zh-CN" w:eastAsia="zh-CN" w:bidi="zh-CN"/>
        </w:rPr>
        <w:t>76.43</w:t>
      </w:r>
      <w:r>
        <w:rPr>
          <w:rFonts w:ascii="Times New Roman" w:hAnsi="Times New Roman" w:cs="Times New Roman"/>
          <w:spacing w:val="-4"/>
          <w:sz w:val="28"/>
          <w:szCs w:val="28"/>
          <w:lang w:val="zh-CN" w:eastAsia="zh-CN" w:bidi="zh-CN"/>
        </w:rPr>
        <w:t>%，土地闲置率为0.</w:t>
      </w:r>
      <w:r>
        <w:rPr>
          <w:rFonts w:hint="eastAsia" w:ascii="Times New Roman" w:hAnsi="Times New Roman" w:cs="Times New Roman"/>
          <w:spacing w:val="-4"/>
          <w:sz w:val="28"/>
          <w:szCs w:val="28"/>
          <w:lang w:val="zh-CN" w:eastAsia="zh-CN" w:bidi="zh-CN"/>
        </w:rPr>
        <w:t>83</w:t>
      </w:r>
      <w:r>
        <w:rPr>
          <w:rFonts w:ascii="Times New Roman" w:hAnsi="Times New Roman" w:cs="Times New Roman"/>
          <w:spacing w:val="-4"/>
          <w:sz w:val="28"/>
          <w:szCs w:val="28"/>
          <w:lang w:val="zh-CN" w:eastAsia="zh-CN" w:bidi="zh-CN"/>
        </w:rPr>
        <w:t>%。平均供地率大于60%和土地闲置率小于5%，符合土地征收成片开发相关政策的要求。</w:t>
      </w:r>
    </w:p>
    <w:p w14:paraId="7C2AB796">
      <w:pPr>
        <w:keepNext w:val="0"/>
        <w:keepLines w:val="0"/>
        <w:pageBreakBefore w:val="0"/>
        <w:kinsoku/>
        <w:wordWrap/>
        <w:overflowPunct/>
        <w:topLinePunct w:val="0"/>
        <w:bidi w:val="0"/>
        <w:adjustRightInd w:val="0"/>
        <w:snapToGrid w:val="0"/>
        <w:spacing w:line="500" w:lineRule="exact"/>
        <w:ind w:firstLine="544" w:firstLineChars="200"/>
        <w:jc w:val="both"/>
        <w:textAlignment w:val="auto"/>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3.广东台山广海湾工业园区和台山产业转移工业园是经国家发改委批准的省级开发区。广东台山广海湾工业园区近五年平均供地率46.69</w:t>
      </w:r>
      <w:r>
        <w:rPr>
          <w:rFonts w:ascii="Times New Roman" w:hAnsi="Times New Roman" w:cs="Times New Roman"/>
          <w:spacing w:val="-4"/>
          <w:sz w:val="28"/>
          <w:szCs w:val="28"/>
          <w:lang w:val="zh-CN" w:eastAsia="zh-CN" w:bidi="zh-CN"/>
        </w:rPr>
        <w:t>%，土地闲置率为</w:t>
      </w:r>
      <w:r>
        <w:rPr>
          <w:rFonts w:hint="eastAsia" w:ascii="Times New Roman" w:hAnsi="Times New Roman" w:cs="Times New Roman"/>
          <w:spacing w:val="-4"/>
          <w:sz w:val="28"/>
          <w:szCs w:val="28"/>
          <w:lang w:val="zh-CN" w:eastAsia="zh-CN" w:bidi="zh-CN"/>
        </w:rPr>
        <w:t>0%</w:t>
      </w:r>
      <w:r>
        <w:rPr>
          <w:rFonts w:ascii="Times New Roman" w:hAnsi="Times New Roman" w:cs="Times New Roman"/>
          <w:spacing w:val="-4"/>
          <w:sz w:val="28"/>
          <w:szCs w:val="28"/>
          <w:lang w:val="zh-CN" w:eastAsia="zh-CN" w:bidi="zh-CN"/>
        </w:rPr>
        <w:t>，综合容积率为1</w:t>
      </w:r>
      <w:r>
        <w:rPr>
          <w:rFonts w:hint="eastAsia" w:ascii="Times New Roman" w:hAnsi="Times New Roman" w:cs="Times New Roman"/>
          <w:spacing w:val="-4"/>
          <w:sz w:val="28"/>
          <w:szCs w:val="28"/>
          <w:lang w:val="zh-CN" w:eastAsia="zh-CN" w:bidi="zh-CN"/>
        </w:rPr>
        <w:t>.12；台山产业转移工业园近五年平均供地率25.34</w:t>
      </w:r>
      <w:r>
        <w:rPr>
          <w:rFonts w:ascii="Times New Roman" w:hAnsi="Times New Roman" w:cs="Times New Roman"/>
          <w:spacing w:val="-4"/>
          <w:sz w:val="28"/>
          <w:szCs w:val="28"/>
          <w:lang w:val="zh-CN" w:eastAsia="zh-CN" w:bidi="zh-CN"/>
        </w:rPr>
        <w:t>%，土地闲置率为0</w:t>
      </w:r>
      <w:r>
        <w:rPr>
          <w:rFonts w:hint="eastAsia" w:ascii="Times New Roman" w:hAnsi="Times New Roman" w:cs="Times New Roman"/>
          <w:spacing w:val="-4"/>
          <w:sz w:val="28"/>
          <w:szCs w:val="28"/>
          <w:lang w:val="zh-CN" w:eastAsia="zh-CN" w:bidi="zh-CN"/>
        </w:rPr>
        <w:t>%</w:t>
      </w:r>
      <w:r>
        <w:rPr>
          <w:rFonts w:ascii="Times New Roman" w:hAnsi="Times New Roman" w:cs="Times New Roman"/>
          <w:spacing w:val="-4"/>
          <w:sz w:val="28"/>
          <w:szCs w:val="28"/>
          <w:lang w:val="zh-CN" w:eastAsia="zh-CN" w:bidi="zh-CN"/>
        </w:rPr>
        <w:t>，综合容积率为1.</w:t>
      </w:r>
      <w:r>
        <w:rPr>
          <w:rFonts w:hint="eastAsia" w:ascii="Times New Roman" w:hAnsi="Times New Roman" w:cs="Times New Roman"/>
          <w:spacing w:val="-4"/>
          <w:sz w:val="28"/>
          <w:szCs w:val="28"/>
          <w:lang w:val="zh-CN" w:eastAsia="zh-CN" w:bidi="zh-CN"/>
        </w:rPr>
        <w:t>04。仅存在平均供地率小于60%的一种情形，不存在本条所述情形中的两种及以上的情形，符合土地征收成片开发相关政策的要求。</w:t>
      </w:r>
    </w:p>
    <w:p w14:paraId="1F8DDC0D">
      <w:pPr>
        <w:keepNext w:val="0"/>
        <w:keepLines w:val="0"/>
        <w:pageBreakBefore w:val="0"/>
        <w:kinsoku/>
        <w:wordWrap/>
        <w:overflowPunct/>
        <w:topLinePunct w:val="0"/>
        <w:bidi w:val="0"/>
        <w:adjustRightInd w:val="0"/>
        <w:snapToGrid w:val="0"/>
        <w:spacing w:line="500" w:lineRule="exact"/>
        <w:ind w:firstLine="544" w:firstLineChars="200"/>
        <w:jc w:val="both"/>
        <w:textAlignment w:val="auto"/>
        <w:rPr>
          <w:rFonts w:ascii="Times New Roman" w:hAnsi="Times New Roman" w:cs="Times New Roman"/>
          <w:spacing w:val="-4"/>
          <w:sz w:val="28"/>
          <w:szCs w:val="28"/>
          <w:lang w:val="zh-CN" w:eastAsia="zh-CN" w:bidi="zh-CN"/>
        </w:rPr>
      </w:pPr>
      <w:r>
        <w:rPr>
          <w:rFonts w:hint="eastAsia" w:ascii="Times New Roman" w:hAnsi="Times New Roman" w:cs="Times New Roman"/>
          <w:spacing w:val="-4"/>
          <w:sz w:val="28"/>
          <w:szCs w:val="28"/>
          <w:lang w:val="zh-CN" w:eastAsia="zh-CN" w:bidi="zh-CN"/>
        </w:rPr>
        <w:t>4.成片开发范围总面积为37.4187</w:t>
      </w:r>
      <w:r>
        <w:rPr>
          <w:rFonts w:ascii="Times New Roman" w:hAnsi="Times New Roman" w:cs="Times New Roman"/>
          <w:spacing w:val="-4"/>
          <w:sz w:val="28"/>
          <w:szCs w:val="28"/>
          <w:lang w:val="zh-CN" w:eastAsia="zh-CN" w:bidi="zh-CN"/>
        </w:rPr>
        <w:t>公顷，其中公益性用地</w:t>
      </w:r>
      <w:r>
        <w:rPr>
          <w:rFonts w:hint="eastAsia" w:ascii="Times New Roman" w:hAnsi="Times New Roman" w:cs="Times New Roman"/>
          <w:spacing w:val="-4"/>
          <w:sz w:val="28"/>
          <w:szCs w:val="28"/>
          <w:lang w:val="zh-CN" w:eastAsia="zh-CN" w:bidi="zh-CN"/>
        </w:rPr>
        <w:t>7.5194</w:t>
      </w:r>
      <w:r>
        <w:rPr>
          <w:rFonts w:ascii="Times New Roman" w:hAnsi="Times New Roman" w:cs="Times New Roman"/>
          <w:spacing w:val="-4"/>
          <w:sz w:val="28"/>
          <w:szCs w:val="28"/>
          <w:lang w:val="zh-CN" w:eastAsia="zh-CN" w:bidi="zh-CN"/>
        </w:rPr>
        <w:t>公顷，占成片开发范围总面积比例</w:t>
      </w:r>
      <w:r>
        <w:rPr>
          <w:rFonts w:hint="eastAsia" w:ascii="Times New Roman" w:hAnsi="Times New Roman" w:cs="Times New Roman"/>
          <w:spacing w:val="-4"/>
          <w:sz w:val="28"/>
          <w:szCs w:val="28"/>
          <w:lang w:val="zh-CN" w:eastAsia="zh-CN" w:bidi="zh-CN"/>
        </w:rPr>
        <w:t>20.10</w:t>
      </w:r>
      <w:r>
        <w:rPr>
          <w:rFonts w:ascii="Times New Roman" w:hAnsi="Times New Roman" w:cs="Times New Roman"/>
          <w:spacing w:val="-4"/>
          <w:sz w:val="28"/>
          <w:szCs w:val="28"/>
          <w:lang w:val="zh-CN" w:eastAsia="zh-CN" w:bidi="zh-CN"/>
        </w:rPr>
        <w:t>%</w:t>
      </w:r>
      <w:r>
        <w:rPr>
          <w:rFonts w:hint="eastAsia" w:ascii="Times New Roman" w:hAnsi="Times New Roman" w:cs="Times New Roman"/>
          <w:spacing w:val="-4"/>
          <w:sz w:val="28"/>
          <w:szCs w:val="28"/>
          <w:lang w:val="zh-CN" w:eastAsia="zh-CN" w:bidi="zh-CN"/>
        </w:rPr>
        <w:t>。《方案》成片开发范围全部位于台山产业转移工业园内，整个开发区、产业园四至范围内的公益性用地比例不低于20%，或成片开发方案公益性用地比例符合经依法批准的国土空间详细规划，</w:t>
      </w:r>
      <w:r>
        <w:rPr>
          <w:rFonts w:ascii="Times New Roman" w:hAnsi="Times New Roman" w:cs="Times New Roman"/>
          <w:spacing w:val="-4"/>
          <w:sz w:val="28"/>
          <w:szCs w:val="28"/>
          <w:lang w:val="zh-CN" w:eastAsia="zh-CN" w:bidi="zh-CN"/>
        </w:rPr>
        <w:t>符合</w:t>
      </w:r>
      <w:r>
        <w:rPr>
          <w:rFonts w:hint="eastAsia" w:ascii="Times New Roman" w:hAnsi="Times New Roman" w:cs="Times New Roman"/>
          <w:sz w:val="28"/>
          <w:szCs w:val="28"/>
          <w:lang w:eastAsia="zh-CN"/>
        </w:rPr>
        <w:t>粤自然资规字〔2024〕7号文</w:t>
      </w:r>
      <w:r>
        <w:rPr>
          <w:rFonts w:hint="eastAsia" w:ascii="Times New Roman" w:hAnsi="Times New Roman" w:cs="Times New Roman"/>
          <w:spacing w:val="-4"/>
          <w:sz w:val="28"/>
          <w:szCs w:val="28"/>
          <w:lang w:val="zh-CN" w:eastAsia="zh-CN" w:bidi="zh-CN"/>
        </w:rPr>
        <w:t>中关于</w:t>
      </w:r>
      <w:r>
        <w:rPr>
          <w:rFonts w:ascii="Times New Roman" w:hAnsi="Times New Roman" w:cs="Times New Roman"/>
          <w:spacing w:val="-4"/>
          <w:sz w:val="28"/>
          <w:szCs w:val="28"/>
          <w:lang w:val="zh-CN" w:eastAsia="zh-CN" w:bidi="zh-CN"/>
        </w:rPr>
        <w:t>基础设施、公共服务设施以及其他公益性用地比例</w:t>
      </w:r>
      <w:r>
        <w:rPr>
          <w:rFonts w:hint="eastAsia" w:ascii="Times New Roman" w:hAnsi="Times New Roman" w:cs="Times New Roman"/>
          <w:spacing w:val="-4"/>
          <w:sz w:val="28"/>
          <w:szCs w:val="28"/>
          <w:lang w:val="zh-CN" w:eastAsia="zh-CN" w:bidi="zh-CN"/>
        </w:rPr>
        <w:t>的要求。拟征收用地面积35.5381</w:t>
      </w:r>
      <w:r>
        <w:rPr>
          <w:rFonts w:ascii="Times New Roman" w:hAnsi="Times New Roman" w:cs="Times New Roman"/>
          <w:spacing w:val="-4"/>
          <w:sz w:val="28"/>
          <w:szCs w:val="28"/>
          <w:lang w:val="zh-CN" w:eastAsia="zh-CN" w:bidi="zh-CN"/>
        </w:rPr>
        <w:t>公顷</w:t>
      </w:r>
      <w:r>
        <w:rPr>
          <w:rFonts w:hint="eastAsia" w:ascii="Times New Roman" w:hAnsi="Times New Roman" w:cs="Times New Roman"/>
          <w:spacing w:val="-4"/>
          <w:sz w:val="28"/>
          <w:szCs w:val="28"/>
          <w:lang w:val="zh-CN" w:eastAsia="zh-CN" w:bidi="zh-CN"/>
        </w:rPr>
        <w:t>，占成片开发范围总面积比例94.97%。</w:t>
      </w:r>
    </w:p>
    <w:p w14:paraId="7E70DB9A">
      <w:pPr>
        <w:keepNext w:val="0"/>
        <w:keepLines w:val="0"/>
        <w:pageBreakBefore w:val="0"/>
        <w:kinsoku/>
        <w:wordWrap/>
        <w:overflowPunct/>
        <w:topLinePunct w:val="0"/>
        <w:bidi w:val="0"/>
        <w:adjustRightInd w:val="0"/>
        <w:snapToGrid w:val="0"/>
        <w:spacing w:line="500" w:lineRule="exact"/>
        <w:ind w:firstLine="560" w:firstLineChars="200"/>
        <w:jc w:val="both"/>
        <w:textAlignment w:val="auto"/>
        <w:rPr>
          <w:rFonts w:ascii="Times New Roman" w:hAnsi="Times New Roman" w:cs="Times New Roman"/>
          <w:sz w:val="28"/>
          <w:szCs w:val="28"/>
          <w:lang w:eastAsia="zh-CN" w:bidi="zh-CN"/>
        </w:rPr>
      </w:pPr>
      <w:r>
        <w:rPr>
          <w:rFonts w:ascii="Times New Roman" w:hAnsi="Times New Roman" w:cs="Times New Roman"/>
          <w:sz w:val="28"/>
          <w:szCs w:val="28"/>
          <w:lang w:eastAsia="zh-CN" w:bidi="zh-CN"/>
        </w:rPr>
        <w:t>本次土地征收成片开发方案符合国民经济和社会发展规划、</w:t>
      </w:r>
      <w:r>
        <w:rPr>
          <w:rFonts w:hint="eastAsia" w:ascii="Times New Roman" w:hAnsi="Times New Roman" w:cs="Times New Roman"/>
          <w:sz w:val="28"/>
          <w:szCs w:val="28"/>
          <w:lang w:eastAsia="zh-CN" w:bidi="zh-CN"/>
        </w:rPr>
        <w:t>国土空间总体规划</w:t>
      </w:r>
      <w:r>
        <w:rPr>
          <w:rFonts w:ascii="Times New Roman" w:hAnsi="Times New Roman" w:cs="Times New Roman"/>
          <w:sz w:val="28"/>
          <w:szCs w:val="28"/>
          <w:lang w:eastAsia="zh-CN" w:bidi="zh-CN"/>
        </w:rPr>
        <w:t>和专项规划，做到了保护耕地、节约集约用地、保护生态环境，能够促进经济社会可持续发展。</w:t>
      </w:r>
    </w:p>
    <w:p w14:paraId="15DF169D">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四、土地用途与公益性用地情况</w:t>
      </w:r>
    </w:p>
    <w:p w14:paraId="2A73494C">
      <w:pPr>
        <w:pStyle w:val="4"/>
        <w:keepNext w:val="0"/>
        <w:keepLines w:val="0"/>
        <w:pageBreakBefore w:val="0"/>
        <w:kinsoku/>
        <w:wordWrap/>
        <w:overflowPunct/>
        <w:topLinePunct w:val="0"/>
        <w:bidi w:val="0"/>
        <w:spacing w:line="500" w:lineRule="exact"/>
        <w:ind w:firstLine="560" w:firstLineChars="200"/>
        <w:jc w:val="both"/>
        <w:textAlignment w:val="auto"/>
        <w:rPr>
          <w:rFonts w:hint="eastAsia"/>
          <w:lang w:eastAsia="zh-CN"/>
        </w:rPr>
      </w:pPr>
      <w:r>
        <w:rPr>
          <w:lang w:eastAsia="zh-CN"/>
        </w:rPr>
        <w:t>（一）土地用途</w:t>
      </w:r>
    </w:p>
    <w:p w14:paraId="23CFAE4B">
      <w:pPr>
        <w:pStyle w:val="4"/>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w w:val="99"/>
          <w:lang w:eastAsia="zh-CN"/>
        </w:rPr>
      </w:pPr>
      <w:r>
        <w:rPr>
          <w:rFonts w:ascii="Times New Roman" w:hAnsi="Times New Roman" w:cs="Times New Roman"/>
          <w:lang w:eastAsia="zh-CN"/>
        </w:rPr>
        <w:t>本次成片开发范围共包括</w:t>
      </w:r>
      <w:r>
        <w:rPr>
          <w:rFonts w:hint="eastAsia" w:ascii="Times New Roman" w:hAnsi="Times New Roman" w:cs="Times New Roman"/>
          <w:lang w:eastAsia="zh-CN"/>
        </w:rPr>
        <w:t>1</w:t>
      </w:r>
      <w:r>
        <w:rPr>
          <w:rFonts w:ascii="Times New Roman" w:hAnsi="Times New Roman" w:cs="Times New Roman"/>
          <w:lang w:eastAsia="zh-CN"/>
        </w:rPr>
        <w:t>个片区，</w:t>
      </w:r>
      <w:r>
        <w:rPr>
          <w:rFonts w:hint="eastAsia" w:ascii="Times New Roman" w:hAnsi="Times New Roman" w:cs="Times New Roman"/>
          <w:lang w:eastAsia="zh-CN"/>
        </w:rPr>
        <w:t>为工业发展区</w:t>
      </w:r>
      <w:r>
        <w:rPr>
          <w:rFonts w:ascii="Times New Roman" w:hAnsi="Times New Roman" w:cs="Times New Roman"/>
          <w:lang w:eastAsia="zh-CN"/>
        </w:rPr>
        <w:t>，详</w:t>
      </w:r>
      <w:r>
        <w:rPr>
          <w:rFonts w:hint="eastAsia" w:ascii="Times New Roman" w:hAnsi="Times New Roman" w:cs="Times New Roman"/>
          <w:lang w:eastAsia="zh-CN"/>
        </w:rPr>
        <w:t>见</w:t>
      </w:r>
      <w:r>
        <w:rPr>
          <w:rFonts w:ascii="Times New Roman" w:hAnsi="Times New Roman" w:cs="Times New Roman"/>
          <w:lang w:eastAsia="zh-CN"/>
        </w:rPr>
        <w:t>下表。</w:t>
      </w:r>
    </w:p>
    <w:p w14:paraId="715E4A3C">
      <w:pPr>
        <w:pStyle w:val="4"/>
        <w:keepNext w:val="0"/>
        <w:keepLines w:val="0"/>
        <w:pageBreakBefore w:val="0"/>
        <w:kinsoku/>
        <w:wordWrap/>
        <w:overflowPunct/>
        <w:topLinePunct w:val="0"/>
        <w:bidi w:val="0"/>
        <w:spacing w:before="1" w:line="500" w:lineRule="exact"/>
        <w:jc w:val="center"/>
        <w:textAlignment w:val="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表2 </w:t>
      </w:r>
      <w:r>
        <w:rPr>
          <w:rFonts w:hint="eastAsia" w:ascii="Times New Roman" w:hAnsi="Times New Roman" w:cs="Times New Roman"/>
          <w:b/>
          <w:bCs/>
          <w:sz w:val="24"/>
          <w:szCs w:val="24"/>
          <w:lang w:eastAsia="zh-CN"/>
        </w:rPr>
        <w:t xml:space="preserve"> </w:t>
      </w:r>
      <w:r>
        <w:rPr>
          <w:rFonts w:ascii="Times New Roman" w:hAnsi="Times New Roman" w:cs="Times New Roman"/>
          <w:b/>
          <w:bCs/>
          <w:sz w:val="24"/>
          <w:szCs w:val="24"/>
          <w:lang w:eastAsia="zh-CN"/>
        </w:rPr>
        <w:t>片区土地用途汇总表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3195"/>
        <w:gridCol w:w="2907"/>
        <w:gridCol w:w="2131"/>
      </w:tblGrid>
      <w:tr w14:paraId="6A8E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48" w:type="pct"/>
            <w:vAlign w:val="center"/>
          </w:tcPr>
          <w:p w14:paraId="42564E28">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序号</w:t>
            </w:r>
          </w:p>
        </w:tc>
        <w:tc>
          <w:tcPr>
            <w:tcW w:w="1728" w:type="pct"/>
            <w:vAlign w:val="center"/>
          </w:tcPr>
          <w:p w14:paraId="04011978">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片区名称</w:t>
            </w:r>
          </w:p>
        </w:tc>
        <w:tc>
          <w:tcPr>
            <w:tcW w:w="1572" w:type="pct"/>
            <w:vAlign w:val="center"/>
          </w:tcPr>
          <w:p w14:paraId="393AC844">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拟安排项目</w:t>
            </w:r>
          </w:p>
        </w:tc>
        <w:tc>
          <w:tcPr>
            <w:tcW w:w="1152" w:type="pct"/>
            <w:vAlign w:val="center"/>
          </w:tcPr>
          <w:p w14:paraId="1F21B0F9">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规划功能分区</w:t>
            </w:r>
          </w:p>
        </w:tc>
      </w:tr>
      <w:tr w14:paraId="04B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8" w:type="pct"/>
            <w:noWrap/>
            <w:vAlign w:val="center"/>
          </w:tcPr>
          <w:p w14:paraId="0908AB4F">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color w:val="000000"/>
                <w:sz w:val="24"/>
                <w:szCs w:val="24"/>
                <w:lang w:eastAsia="zh-CN"/>
              </w:rPr>
            </w:pPr>
            <w:r>
              <w:rPr>
                <w:rFonts w:ascii="Times New Roman" w:hAnsi="Times New Roman" w:cs="Times New Roman"/>
                <w:color w:val="000000"/>
                <w:sz w:val="24"/>
                <w:szCs w:val="24"/>
              </w:rPr>
              <w:t>1</w:t>
            </w:r>
          </w:p>
        </w:tc>
        <w:tc>
          <w:tcPr>
            <w:tcW w:w="1728" w:type="pct"/>
            <w:vAlign w:val="center"/>
          </w:tcPr>
          <w:p w14:paraId="2CA0BC0F">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color w:val="000000"/>
                <w:sz w:val="24"/>
                <w:szCs w:val="24"/>
                <w:lang w:eastAsia="zh-CN"/>
              </w:rPr>
            </w:pPr>
            <w:r>
              <w:rPr>
                <w:rFonts w:hint="eastAsia"/>
                <w:color w:val="000000"/>
                <w:sz w:val="24"/>
                <w:szCs w:val="24"/>
                <w:lang w:eastAsia="zh-CN"/>
              </w:rPr>
              <w:t>台山产业转移工业园扩园沙坑村片区</w:t>
            </w:r>
          </w:p>
        </w:tc>
        <w:tc>
          <w:tcPr>
            <w:tcW w:w="1572" w:type="pct"/>
            <w:vAlign w:val="center"/>
          </w:tcPr>
          <w:p w14:paraId="2D5B546E">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color w:val="000000"/>
                <w:sz w:val="24"/>
                <w:szCs w:val="24"/>
                <w:lang w:eastAsia="zh-CN"/>
              </w:rPr>
            </w:pPr>
            <w:r>
              <w:rPr>
                <w:rFonts w:hint="eastAsia"/>
                <w:color w:val="000000"/>
                <w:sz w:val="24"/>
                <w:szCs w:val="24"/>
                <w:lang w:eastAsia="zh-CN"/>
              </w:rPr>
              <w:t>台山产业转移工业园扩园项目</w:t>
            </w:r>
          </w:p>
        </w:tc>
        <w:tc>
          <w:tcPr>
            <w:tcW w:w="1152" w:type="pct"/>
            <w:vAlign w:val="center"/>
          </w:tcPr>
          <w:p w14:paraId="23C2D6A8">
            <w:pPr>
              <w:keepNext w:val="0"/>
              <w:keepLines w:val="0"/>
              <w:pageBreakBefore w:val="0"/>
              <w:widowControl/>
              <w:kinsoku/>
              <w:wordWrap/>
              <w:overflowPunct/>
              <w:topLinePunct w:val="0"/>
              <w:autoSpaceDE/>
              <w:autoSpaceDN/>
              <w:bidi w:val="0"/>
              <w:spacing w:line="500" w:lineRule="exact"/>
              <w:jc w:val="center"/>
              <w:textAlignment w:val="auto"/>
              <w:rPr>
                <w:rFonts w:ascii="Times New Roman" w:hAnsi="Times New Roman" w:cs="Times New Roman"/>
                <w:color w:val="000000"/>
                <w:sz w:val="24"/>
                <w:szCs w:val="24"/>
                <w:lang w:eastAsia="zh-CN"/>
              </w:rPr>
            </w:pPr>
            <w:r>
              <w:rPr>
                <w:rFonts w:hint="eastAsia"/>
                <w:color w:val="000000"/>
                <w:sz w:val="24"/>
                <w:szCs w:val="24"/>
              </w:rPr>
              <w:t>工业发展区</w:t>
            </w:r>
          </w:p>
        </w:tc>
      </w:tr>
    </w:tbl>
    <w:p w14:paraId="66C3BCEF">
      <w:pPr>
        <w:pStyle w:val="4"/>
        <w:keepNext w:val="0"/>
        <w:keepLines w:val="0"/>
        <w:pageBreakBefore w:val="0"/>
        <w:kinsoku/>
        <w:wordWrap/>
        <w:overflowPunct/>
        <w:topLinePunct w:val="0"/>
        <w:bidi w:val="0"/>
        <w:spacing w:before="170" w:line="500" w:lineRule="exact"/>
        <w:ind w:firstLine="560" w:firstLineChars="200"/>
        <w:jc w:val="both"/>
        <w:textAlignment w:val="auto"/>
        <w:rPr>
          <w:rFonts w:hint="eastAsia"/>
          <w:lang w:eastAsia="zh-CN"/>
        </w:rPr>
      </w:pPr>
      <w:r>
        <w:rPr>
          <w:lang w:eastAsia="zh-CN"/>
        </w:rPr>
        <w:t>（二）公益性用地</w:t>
      </w:r>
      <w:r>
        <w:rPr>
          <w:rFonts w:hint="eastAsia"/>
          <w:lang w:eastAsia="zh-CN"/>
        </w:rPr>
        <w:t>和拟征收用地</w:t>
      </w:r>
      <w:r>
        <w:rPr>
          <w:lang w:eastAsia="zh-CN"/>
        </w:rPr>
        <w:t>情况</w:t>
      </w:r>
    </w:p>
    <w:p w14:paraId="7E33FBAE">
      <w:pPr>
        <w:pStyle w:val="4"/>
        <w:keepNext w:val="0"/>
        <w:keepLines w:val="0"/>
        <w:pageBreakBefore w:val="0"/>
        <w:kinsoku/>
        <w:wordWrap/>
        <w:overflowPunct/>
        <w:topLinePunct w:val="0"/>
        <w:bidi w:val="0"/>
        <w:spacing w:line="500" w:lineRule="exact"/>
        <w:ind w:right="84" w:firstLine="560" w:firstLineChars="200"/>
        <w:jc w:val="both"/>
        <w:textAlignment w:val="auto"/>
        <w:rPr>
          <w:rFonts w:ascii="Times New Roman" w:hAnsi="Times New Roman" w:cs="Times New Roman"/>
          <w:spacing w:val="-4"/>
          <w:lang w:eastAsia="zh-CN"/>
        </w:rPr>
      </w:pPr>
      <w:r>
        <w:rPr>
          <w:rFonts w:ascii="Times New Roman" w:hAnsi="Times New Roman" w:cs="Times New Roman"/>
          <w:lang w:eastAsia="zh-CN"/>
        </w:rPr>
        <w:t>成片开发区域内</w:t>
      </w:r>
      <w:r>
        <w:rPr>
          <w:rFonts w:ascii="Times New Roman" w:hAnsi="Times New Roman" w:cs="Times New Roman"/>
          <w:spacing w:val="-4"/>
          <w:lang w:val="zh-CN" w:eastAsia="zh-CN" w:bidi="zh-CN"/>
        </w:rPr>
        <w:t>公益性用地</w:t>
      </w:r>
      <w:r>
        <w:rPr>
          <w:rFonts w:hint="eastAsia" w:ascii="Times New Roman" w:hAnsi="Times New Roman" w:cs="Times New Roman"/>
          <w:spacing w:val="-4"/>
          <w:lang w:val="zh-CN" w:eastAsia="zh-CN" w:bidi="zh-CN"/>
        </w:rPr>
        <w:t>7.5194公顷</w:t>
      </w:r>
      <w:r>
        <w:rPr>
          <w:rFonts w:ascii="Times New Roman" w:hAnsi="Times New Roman" w:cs="Times New Roman"/>
          <w:spacing w:val="-4"/>
          <w:lang w:val="zh-CN" w:eastAsia="zh-CN" w:bidi="zh-CN"/>
        </w:rPr>
        <w:t>，占成片开发范围总面积比例</w:t>
      </w:r>
      <w:r>
        <w:rPr>
          <w:rFonts w:hint="eastAsia" w:ascii="Times New Roman" w:hAnsi="Times New Roman" w:cs="Times New Roman"/>
          <w:spacing w:val="-4"/>
          <w:lang w:val="zh-CN" w:eastAsia="zh-CN" w:bidi="zh-CN"/>
        </w:rPr>
        <w:t>20.10</w:t>
      </w:r>
      <w:r>
        <w:rPr>
          <w:rFonts w:ascii="Times New Roman" w:hAnsi="Times New Roman" w:cs="Times New Roman"/>
          <w:spacing w:val="-4"/>
          <w:lang w:val="zh-CN" w:eastAsia="zh-CN" w:bidi="zh-CN"/>
        </w:rPr>
        <w:t>%</w:t>
      </w:r>
      <w:r>
        <w:rPr>
          <w:rFonts w:ascii="Times New Roman" w:hAnsi="Times New Roman" w:cs="Times New Roman"/>
          <w:lang w:eastAsia="zh-CN"/>
        </w:rPr>
        <w:t>，为</w:t>
      </w:r>
      <w:r>
        <w:rPr>
          <w:rFonts w:hint="eastAsia" w:ascii="Times New Roman" w:hAnsi="Times New Roman" w:cs="Times New Roman"/>
          <w:lang w:eastAsia="zh-CN"/>
        </w:rPr>
        <w:t>交通运输用地。</w:t>
      </w:r>
      <w:r>
        <w:rPr>
          <w:rFonts w:hint="eastAsia" w:ascii="Times New Roman" w:hAnsi="Times New Roman" w:cs="Times New Roman"/>
          <w:spacing w:val="-4"/>
          <w:lang w:val="zh-CN" w:eastAsia="zh-CN" w:bidi="zh-CN"/>
        </w:rPr>
        <w:t>《方案》成片开发范围全部位于台山产业转移工业园内，整个开发区、产业园四至范围内的公益性用地比例不低于20%，或成片开发方案公益性用地比例符合经依法批准的国土空间详细规划，</w:t>
      </w:r>
      <w:r>
        <w:rPr>
          <w:rFonts w:ascii="Times New Roman" w:hAnsi="Times New Roman" w:cs="Times New Roman"/>
          <w:spacing w:val="-4"/>
          <w:lang w:val="zh-CN" w:eastAsia="zh-CN" w:bidi="zh-CN"/>
        </w:rPr>
        <w:t>符合</w:t>
      </w:r>
      <w:r>
        <w:rPr>
          <w:rFonts w:hint="eastAsia" w:ascii="Times New Roman" w:hAnsi="Times New Roman" w:cs="Times New Roman"/>
          <w:lang w:eastAsia="zh-CN"/>
        </w:rPr>
        <w:t>粤自然资规字〔2024〕7号文</w:t>
      </w:r>
      <w:r>
        <w:rPr>
          <w:rFonts w:hint="eastAsia" w:ascii="Times New Roman" w:hAnsi="Times New Roman" w:cs="Times New Roman"/>
          <w:spacing w:val="-4"/>
          <w:lang w:val="zh-CN" w:eastAsia="zh-CN" w:bidi="zh-CN"/>
        </w:rPr>
        <w:t>中关于</w:t>
      </w:r>
      <w:r>
        <w:rPr>
          <w:rFonts w:ascii="Times New Roman" w:hAnsi="Times New Roman" w:cs="Times New Roman"/>
          <w:spacing w:val="-4"/>
          <w:lang w:val="zh-CN" w:eastAsia="zh-CN" w:bidi="zh-CN"/>
        </w:rPr>
        <w:t>基础设施、公共服务设施以及其他公益性用地比例</w:t>
      </w:r>
      <w:r>
        <w:rPr>
          <w:rFonts w:hint="eastAsia" w:ascii="Times New Roman" w:hAnsi="Times New Roman" w:cs="Times New Roman"/>
          <w:spacing w:val="-4"/>
          <w:lang w:val="zh-CN" w:eastAsia="zh-CN" w:bidi="zh-CN"/>
        </w:rPr>
        <w:t>的要求。</w:t>
      </w:r>
      <w:r>
        <w:rPr>
          <w:rFonts w:hint="eastAsia" w:ascii="Times New Roman" w:hAnsi="Times New Roman" w:cs="Times New Roman"/>
          <w:lang w:eastAsia="zh-CN"/>
        </w:rPr>
        <w:t>拟征收用地面积35.5381公顷，占成片开发范围总面积比例94.97%。</w:t>
      </w:r>
    </w:p>
    <w:p w14:paraId="2B4B40C4">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五、实施计划</w:t>
      </w:r>
    </w:p>
    <w:p w14:paraId="7011F4F7">
      <w:pPr>
        <w:pStyle w:val="4"/>
        <w:keepNext w:val="0"/>
        <w:keepLines w:val="0"/>
        <w:pageBreakBefore w:val="0"/>
        <w:kinsoku/>
        <w:wordWrap/>
        <w:overflowPunct/>
        <w:topLinePunct w:val="0"/>
        <w:bidi w:val="0"/>
        <w:spacing w:before="1" w:line="500" w:lineRule="exact"/>
        <w:ind w:firstLine="560" w:firstLineChars="200"/>
        <w:jc w:val="both"/>
        <w:textAlignment w:val="auto"/>
        <w:rPr>
          <w:rFonts w:ascii="Times New Roman" w:hAnsi="Times New Roman" w:cs="Times New Roman"/>
          <w:lang w:eastAsia="zh-CN"/>
        </w:rPr>
      </w:pPr>
      <w:r>
        <w:rPr>
          <w:rFonts w:ascii="Times New Roman" w:hAnsi="Times New Roman" w:cs="Times New Roman"/>
          <w:lang w:eastAsia="zh-CN"/>
        </w:rPr>
        <w:t>本方案划定成片开发范围</w:t>
      </w:r>
      <w:r>
        <w:rPr>
          <w:rFonts w:hint="eastAsia" w:ascii="Times New Roman" w:hAnsi="Times New Roman" w:cs="Times New Roman"/>
          <w:spacing w:val="-4"/>
          <w:lang w:val="zh-CN" w:eastAsia="zh-CN" w:bidi="zh-CN"/>
        </w:rPr>
        <w:t>37.4187</w:t>
      </w:r>
      <w:r>
        <w:rPr>
          <w:rFonts w:ascii="Times New Roman" w:hAnsi="Times New Roman" w:cs="Times New Roman"/>
          <w:lang w:eastAsia="zh-CN"/>
        </w:rPr>
        <w:t>公顷，</w:t>
      </w:r>
      <w:r>
        <w:rPr>
          <w:rFonts w:hint="eastAsia" w:ascii="Times New Roman" w:hAnsi="Times New Roman" w:cs="Times New Roman"/>
          <w:lang w:eastAsia="zh-CN"/>
        </w:rPr>
        <w:t>拟征收用地面积35.5381公顷，</w:t>
      </w:r>
      <w:r>
        <w:rPr>
          <w:rFonts w:ascii="Times New Roman" w:hAnsi="Times New Roman" w:cs="Times New Roman"/>
          <w:lang w:eastAsia="zh-CN"/>
        </w:rPr>
        <w:t>计划实施周期为</w:t>
      </w:r>
      <w:r>
        <w:rPr>
          <w:rFonts w:hint="eastAsia" w:ascii="Times New Roman" w:hAnsi="Times New Roman" w:cs="Times New Roman"/>
          <w:lang w:eastAsia="zh-CN"/>
        </w:rPr>
        <w:t>2025-2026</w:t>
      </w:r>
      <w:r>
        <w:rPr>
          <w:rFonts w:ascii="Times New Roman" w:hAnsi="Times New Roman" w:cs="Times New Roman"/>
          <w:lang w:eastAsia="zh-CN"/>
        </w:rPr>
        <w:t>年</w:t>
      </w:r>
      <w:r>
        <w:rPr>
          <w:rFonts w:hint="eastAsia" w:ascii="Times New Roman" w:hAnsi="Times New Roman" w:cs="Times New Roman"/>
          <w:lang w:eastAsia="zh-CN"/>
        </w:rPr>
        <w:t>。</w:t>
      </w:r>
    </w:p>
    <w:p w14:paraId="08FFBA61">
      <w:pPr>
        <w:pStyle w:val="2"/>
        <w:keepNext w:val="0"/>
        <w:keepLines w:val="0"/>
        <w:pageBreakBefore w:val="0"/>
        <w:kinsoku/>
        <w:wordWrap/>
        <w:overflowPunct/>
        <w:topLinePunct w:val="0"/>
        <w:bidi w:val="0"/>
        <w:spacing w:before="12" w:line="500" w:lineRule="exact"/>
        <w:ind w:left="0"/>
        <w:textAlignment w:val="auto"/>
        <w:rPr>
          <w:rFonts w:hint="eastAsia" w:ascii="黑体" w:hAnsi="黑体" w:eastAsia="黑体"/>
          <w:lang w:eastAsia="zh-CN"/>
        </w:rPr>
      </w:pPr>
      <w:r>
        <w:rPr>
          <w:rFonts w:ascii="黑体" w:hAnsi="黑体" w:eastAsia="黑体"/>
          <w:lang w:eastAsia="zh-CN"/>
        </w:rPr>
        <w:t>六、效益评估</w:t>
      </w:r>
    </w:p>
    <w:p w14:paraId="559DDD1A">
      <w:pPr>
        <w:pStyle w:val="4"/>
        <w:keepNext w:val="0"/>
        <w:keepLines w:val="0"/>
        <w:pageBreakBefore w:val="0"/>
        <w:kinsoku/>
        <w:wordWrap/>
        <w:overflowPunct/>
        <w:topLinePunct w:val="0"/>
        <w:bidi w:val="0"/>
        <w:spacing w:before="1" w:line="500" w:lineRule="exact"/>
        <w:ind w:firstLine="560" w:firstLineChars="200"/>
        <w:jc w:val="both"/>
        <w:textAlignment w:val="auto"/>
        <w:rPr>
          <w:rFonts w:hint="eastAsia"/>
          <w:lang w:eastAsia="zh-CN"/>
        </w:rPr>
      </w:pPr>
      <w:r>
        <w:rPr>
          <w:lang w:eastAsia="zh-CN"/>
        </w:rPr>
        <w:t>（一）土地利用效益评估</w:t>
      </w:r>
    </w:p>
    <w:p w14:paraId="243806D3">
      <w:pPr>
        <w:pStyle w:val="4"/>
        <w:keepNext w:val="0"/>
        <w:keepLines w:val="0"/>
        <w:pageBreakBefore w:val="0"/>
        <w:kinsoku/>
        <w:wordWrap/>
        <w:overflowPunct/>
        <w:topLinePunct w:val="0"/>
        <w:bidi w:val="0"/>
        <w:spacing w:line="500" w:lineRule="exact"/>
        <w:ind w:right="142" w:firstLine="560" w:firstLineChars="200"/>
        <w:jc w:val="both"/>
        <w:textAlignment w:val="auto"/>
        <w:rPr>
          <w:rFonts w:hint="eastAsia"/>
          <w:lang w:eastAsia="zh-CN"/>
        </w:rPr>
      </w:pPr>
      <w:r>
        <w:rPr>
          <w:rFonts w:hint="eastAsia"/>
          <w:lang w:eastAsia="zh-CN"/>
        </w:rPr>
        <w:t>本次成片开发方案的编制有利于优化增量片区内新增建设用地空间布局，满足台山产业转移工业园扩园</w:t>
      </w:r>
      <w:r>
        <w:rPr>
          <w:rFonts w:hint="eastAsia" w:ascii="Times New Roman" w:hAnsi="Times New Roman" w:cs="Times New Roman"/>
          <w:lang w:eastAsia="zh-CN" w:bidi="zh-CN"/>
        </w:rPr>
        <w:t>的建设发展需求。</w:t>
      </w:r>
      <w:r>
        <w:rPr>
          <w:rFonts w:hint="eastAsia"/>
          <w:lang w:eastAsia="zh-CN"/>
        </w:rPr>
        <w:t>通过土地征收成片开发，将有效推进用地节约集约利用，避免用地浪费，实现土地资源的合理配置</w:t>
      </w:r>
      <w:r>
        <w:rPr>
          <w:rFonts w:ascii="Times New Roman" w:hAnsi="Times New Roman" w:cs="Times New Roman"/>
          <w:w w:val="99"/>
          <w:lang w:eastAsia="zh-CN"/>
        </w:rPr>
        <w:t>。</w:t>
      </w:r>
    </w:p>
    <w:p w14:paraId="146A9CAE">
      <w:pPr>
        <w:pStyle w:val="4"/>
        <w:keepNext w:val="0"/>
        <w:keepLines w:val="0"/>
        <w:pageBreakBefore w:val="0"/>
        <w:kinsoku/>
        <w:wordWrap/>
        <w:overflowPunct/>
        <w:topLinePunct w:val="0"/>
        <w:bidi w:val="0"/>
        <w:spacing w:before="61" w:line="500" w:lineRule="exact"/>
        <w:ind w:firstLine="560" w:firstLineChars="200"/>
        <w:jc w:val="both"/>
        <w:textAlignment w:val="auto"/>
        <w:rPr>
          <w:rFonts w:hint="eastAsia"/>
          <w:lang w:eastAsia="zh-CN"/>
        </w:rPr>
      </w:pPr>
      <w:r>
        <w:rPr>
          <w:lang w:eastAsia="zh-CN"/>
        </w:rPr>
        <w:t>（二）经济效益评估</w:t>
      </w:r>
    </w:p>
    <w:p w14:paraId="285A6C6F">
      <w:pPr>
        <w:pStyle w:val="4"/>
        <w:keepNext w:val="0"/>
        <w:keepLines w:val="0"/>
        <w:pageBreakBefore w:val="0"/>
        <w:kinsoku/>
        <w:wordWrap/>
        <w:overflowPunct/>
        <w:topLinePunct w:val="0"/>
        <w:bidi w:val="0"/>
        <w:spacing w:before="61" w:line="500" w:lineRule="exact"/>
        <w:ind w:firstLine="560" w:firstLineChars="200"/>
        <w:jc w:val="both"/>
        <w:textAlignment w:val="auto"/>
        <w:rPr>
          <w:lang w:eastAsia="zh-CN"/>
        </w:rPr>
      </w:pPr>
      <w:r>
        <w:rPr>
          <w:rFonts w:hint="eastAsia"/>
          <w:lang w:eastAsia="zh-CN"/>
        </w:rPr>
        <w:t>成片开发方案的编制可有效促进台山市优势产业的集聚发展以及创新平台的形成，为重大创新载体与创新产业提供承载空间，加快区域经济格局的重构，推动台山市实现产业动能升级转换，助力台山市经济社会高质量发展，保障台山市拟于近期开展土地征收的台山产业转移工业园扩园项目的实施落地，对地方的发展带来较大的经济效益。</w:t>
      </w:r>
    </w:p>
    <w:p w14:paraId="5A761C20">
      <w:pPr>
        <w:pStyle w:val="4"/>
        <w:keepNext w:val="0"/>
        <w:keepLines w:val="0"/>
        <w:pageBreakBefore w:val="0"/>
        <w:kinsoku/>
        <w:wordWrap/>
        <w:overflowPunct/>
        <w:topLinePunct w:val="0"/>
        <w:bidi w:val="0"/>
        <w:spacing w:before="61" w:line="500" w:lineRule="exact"/>
        <w:ind w:firstLine="560" w:firstLineChars="200"/>
        <w:jc w:val="both"/>
        <w:textAlignment w:val="auto"/>
        <w:rPr>
          <w:rFonts w:hint="eastAsia"/>
          <w:lang w:eastAsia="zh-CN"/>
        </w:rPr>
      </w:pPr>
      <w:r>
        <w:rPr>
          <w:lang w:eastAsia="zh-CN"/>
        </w:rPr>
        <w:t>（三）社会效益评估</w:t>
      </w:r>
    </w:p>
    <w:p w14:paraId="4E1E7F88">
      <w:pPr>
        <w:pStyle w:val="4"/>
        <w:keepNext w:val="0"/>
        <w:keepLines w:val="0"/>
        <w:pageBreakBefore w:val="0"/>
        <w:kinsoku/>
        <w:wordWrap/>
        <w:overflowPunct/>
        <w:topLinePunct w:val="0"/>
        <w:bidi w:val="0"/>
        <w:spacing w:line="500" w:lineRule="exact"/>
        <w:ind w:firstLine="560" w:firstLineChars="200"/>
        <w:jc w:val="both"/>
        <w:textAlignment w:val="auto"/>
        <w:rPr>
          <w:rFonts w:hint="eastAsia"/>
          <w:lang w:eastAsia="zh-CN"/>
        </w:rPr>
      </w:pPr>
      <w:r>
        <w:rPr>
          <w:rFonts w:hint="eastAsia"/>
          <w:lang w:eastAsia="zh-CN"/>
        </w:rPr>
        <w:t>可推进成片开发范围内部及周边基础设施及公共服务设施的建设，提升区域公共服务水平</w:t>
      </w:r>
      <w:r>
        <w:rPr>
          <w:lang w:eastAsia="zh-CN"/>
        </w:rPr>
        <w:t>。</w:t>
      </w:r>
      <w:r>
        <w:rPr>
          <w:rFonts w:hint="eastAsia"/>
          <w:lang w:eastAsia="zh-CN"/>
        </w:rPr>
        <w:t>有效保障片区设施配套建设需求。能够扩大工业发展规模，创造大量就业岗位，</w:t>
      </w:r>
      <w:r>
        <w:rPr>
          <w:rFonts w:hint="eastAsia" w:ascii="Times New Roman" w:hAnsi="Times New Roman" w:cs="Times New Roman"/>
          <w:lang w:eastAsia="zh-CN"/>
        </w:rPr>
        <w:t>有利于吸收周边剩余劳动力</w:t>
      </w:r>
      <w:r>
        <w:rPr>
          <w:rFonts w:hint="eastAsia" w:ascii="Times New Roman" w:hAnsi="Times New Roman" w:cs="Times New Roman"/>
          <w:w w:val="99"/>
          <w:lang w:eastAsia="zh-CN"/>
        </w:rPr>
        <w:t>。</w:t>
      </w:r>
    </w:p>
    <w:p w14:paraId="2ED4B83A">
      <w:pPr>
        <w:pStyle w:val="4"/>
        <w:keepNext w:val="0"/>
        <w:keepLines w:val="0"/>
        <w:pageBreakBefore w:val="0"/>
        <w:kinsoku/>
        <w:wordWrap/>
        <w:overflowPunct/>
        <w:topLinePunct w:val="0"/>
        <w:bidi w:val="0"/>
        <w:spacing w:before="61" w:line="500" w:lineRule="exact"/>
        <w:ind w:firstLine="560" w:firstLineChars="200"/>
        <w:jc w:val="both"/>
        <w:textAlignment w:val="auto"/>
        <w:rPr>
          <w:rFonts w:hint="eastAsia"/>
          <w:lang w:eastAsia="zh-CN"/>
        </w:rPr>
      </w:pPr>
      <w:r>
        <w:rPr>
          <w:lang w:eastAsia="zh-CN"/>
        </w:rPr>
        <w:t>（四）生态效益评估</w:t>
      </w:r>
    </w:p>
    <w:p w14:paraId="01C150E4">
      <w:pPr>
        <w:pStyle w:val="4"/>
        <w:keepNext w:val="0"/>
        <w:keepLines w:val="0"/>
        <w:pageBreakBefore w:val="0"/>
        <w:kinsoku/>
        <w:wordWrap/>
        <w:overflowPunct/>
        <w:topLinePunct w:val="0"/>
        <w:bidi w:val="0"/>
        <w:spacing w:line="500" w:lineRule="exact"/>
        <w:ind w:firstLine="560" w:firstLineChars="200"/>
        <w:jc w:val="both"/>
        <w:textAlignment w:val="auto"/>
        <w:rPr>
          <w:rFonts w:ascii="Times New Roman" w:hAnsi="Times New Roman" w:cs="Times New Roman"/>
          <w:w w:val="99"/>
          <w:lang w:eastAsia="zh-CN"/>
        </w:rPr>
      </w:pPr>
      <w:r>
        <w:rPr>
          <w:rFonts w:hint="eastAsia"/>
          <w:lang w:eastAsia="zh-CN"/>
        </w:rPr>
        <w:t>成片开发范围内建设项目后续应依托台山市优质山水生态资源本底，结合详细规划设计提供多元的城市生态空间、改善城市环境</w:t>
      </w:r>
      <w:r>
        <w:rPr>
          <w:rFonts w:ascii="Times New Roman" w:hAnsi="Times New Roman" w:cs="Times New Roman"/>
          <w:w w:val="99"/>
          <w:lang w:eastAsia="zh-CN"/>
        </w:rPr>
        <w:t>。</w:t>
      </w:r>
    </w:p>
    <w:p w14:paraId="3D5B64B4">
      <w:pPr>
        <w:pStyle w:val="2"/>
        <w:keepNext w:val="0"/>
        <w:keepLines w:val="0"/>
        <w:pageBreakBefore w:val="0"/>
        <w:kinsoku/>
        <w:wordWrap/>
        <w:overflowPunct/>
        <w:topLinePunct w:val="0"/>
        <w:bidi w:val="0"/>
        <w:spacing w:before="12" w:line="500" w:lineRule="exact"/>
        <w:ind w:left="0"/>
        <w:jc w:val="both"/>
        <w:textAlignment w:val="auto"/>
        <w:rPr>
          <w:rFonts w:hint="eastAsia" w:ascii="黑体" w:hAnsi="黑体" w:eastAsia="黑体"/>
          <w:lang w:eastAsia="zh-CN"/>
        </w:rPr>
      </w:pPr>
      <w:r>
        <w:rPr>
          <w:rFonts w:ascii="黑体" w:hAnsi="黑体" w:eastAsia="黑体"/>
          <w:lang w:eastAsia="zh-CN"/>
        </w:rPr>
        <w:t>七、结论</w:t>
      </w:r>
    </w:p>
    <w:p w14:paraId="763321FB">
      <w:pPr>
        <w:pStyle w:val="4"/>
        <w:keepNext w:val="0"/>
        <w:keepLines w:val="0"/>
        <w:pageBreakBefore w:val="0"/>
        <w:kinsoku/>
        <w:wordWrap/>
        <w:overflowPunct/>
        <w:topLinePunct w:val="0"/>
        <w:bidi w:val="0"/>
        <w:adjustRightInd w:val="0"/>
        <w:snapToGrid w:val="0"/>
        <w:spacing w:line="500" w:lineRule="exact"/>
        <w:ind w:firstLine="560" w:firstLineChars="200"/>
        <w:jc w:val="both"/>
        <w:textAlignment w:val="auto"/>
        <w:rPr>
          <w:rFonts w:ascii="Times New Roman" w:hAnsi="Times New Roman"/>
          <w:lang w:eastAsia="zh-CN"/>
        </w:rPr>
      </w:pPr>
      <w:r>
        <w:rPr>
          <w:rFonts w:ascii="Times New Roman" w:hAnsi="Times New Roman" w:cs="Times New Roman"/>
          <w:lang w:eastAsia="zh-CN"/>
        </w:rPr>
        <w:t>综上所述，《江门市台山市</w:t>
      </w:r>
      <w:r>
        <w:rPr>
          <w:rFonts w:hint="eastAsia" w:ascii="Times New Roman" w:hAnsi="Times New Roman" w:cs="Times New Roman"/>
          <w:lang w:eastAsia="zh-CN"/>
        </w:rPr>
        <w:t>2</w:t>
      </w:r>
      <w:r>
        <w:rPr>
          <w:rFonts w:ascii="Times New Roman" w:hAnsi="Times New Roman" w:cs="Times New Roman"/>
          <w:lang w:eastAsia="zh-CN"/>
        </w:rPr>
        <w:t>0</w:t>
      </w:r>
      <w:r>
        <w:rPr>
          <w:rFonts w:hint="eastAsia" w:ascii="Times New Roman" w:hAnsi="Times New Roman" w:cs="Times New Roman"/>
          <w:lang w:eastAsia="zh-CN"/>
        </w:rPr>
        <w:t>25年度</w:t>
      </w:r>
      <w:r>
        <w:rPr>
          <w:rFonts w:ascii="Times New Roman" w:hAnsi="Times New Roman" w:cs="Times New Roman"/>
          <w:lang w:eastAsia="zh-CN"/>
        </w:rPr>
        <w:t>土地征收成片开发方案</w:t>
      </w:r>
      <w:r>
        <w:rPr>
          <w:rFonts w:hint="eastAsia" w:ascii="Times New Roman" w:hAnsi="Times New Roman" w:cs="Times New Roman"/>
          <w:lang w:eastAsia="zh-CN"/>
        </w:rPr>
        <w:t>（第三批）</w:t>
      </w:r>
      <w:r>
        <w:rPr>
          <w:rFonts w:ascii="Times New Roman" w:hAnsi="Times New Roman" w:cs="Times New Roman"/>
          <w:lang w:eastAsia="zh-CN"/>
        </w:rPr>
        <w:t>》符合</w:t>
      </w:r>
      <w:r>
        <w:rPr>
          <w:rFonts w:hint="eastAsia" w:ascii="Times New Roman" w:hAnsi="Times New Roman" w:cs="Times New Roman"/>
          <w:lang w:eastAsia="zh-CN"/>
        </w:rPr>
        <w:t>《中华人民共和国土地管理法》（2019年修订）、《自然资源部关于印发&lt;土地征收成片开发标准&gt;的通知》（自然资规〔2023〕7号）、《广东省自然资源厅关于进一步规范土地征收成片开发工作的通知》（粤自然资规字〔2024〕7号）等文件</w:t>
      </w:r>
      <w:r>
        <w:rPr>
          <w:rFonts w:ascii="Times New Roman" w:hAnsi="Times New Roman" w:cs="Times New Roman"/>
          <w:lang w:eastAsia="zh-CN"/>
        </w:rPr>
        <w:t>的要求</w:t>
      </w:r>
      <w:r>
        <w:rPr>
          <w:rFonts w:hint="eastAsia" w:ascii="Times New Roman" w:hAnsi="Times New Roman" w:cs="Times New Roman"/>
          <w:w w:val="99"/>
          <w:lang w:eastAsia="zh-CN"/>
        </w:rPr>
        <w:t>，</w:t>
      </w:r>
      <w:r>
        <w:rPr>
          <w:rFonts w:ascii="Times New Roman" w:hAnsi="Times New Roman"/>
          <w:lang w:eastAsia="zh-CN"/>
        </w:rPr>
        <w:t>方案必要性分析合理，土地征收实施计划安排可行性高，成片开发能为</w:t>
      </w:r>
      <w:r>
        <w:rPr>
          <w:rFonts w:hint="eastAsia" w:ascii="Times New Roman" w:hAnsi="Times New Roman"/>
          <w:lang w:eastAsia="zh-CN"/>
        </w:rPr>
        <w:t>台山市</w:t>
      </w:r>
      <w:r>
        <w:rPr>
          <w:rFonts w:ascii="Times New Roman" w:hAnsi="Times New Roman"/>
          <w:lang w:eastAsia="zh-CN"/>
        </w:rPr>
        <w:t>带来较大的土地利用、经济、社会、生态效益</w:t>
      </w:r>
      <w:r>
        <w:rPr>
          <w:rFonts w:hint="eastAsia" w:ascii="Times New Roman" w:hAnsi="Times New Roman"/>
          <w:lang w:eastAsia="zh-CN"/>
        </w:rPr>
        <w:t>。</w:t>
      </w:r>
      <w:bookmarkStart w:id="2" w:name="_GoBack"/>
      <w:bookmarkEnd w:id="2"/>
    </w:p>
    <w:p w14:paraId="15FB031F">
      <w:pPr>
        <w:pStyle w:val="4"/>
        <w:keepNext w:val="0"/>
        <w:keepLines w:val="0"/>
        <w:pageBreakBefore w:val="0"/>
        <w:kinsoku/>
        <w:wordWrap/>
        <w:overflowPunct/>
        <w:topLinePunct w:val="0"/>
        <w:bidi w:val="0"/>
        <w:adjustRightInd w:val="0"/>
        <w:snapToGrid w:val="0"/>
        <w:spacing w:line="500" w:lineRule="exact"/>
        <w:jc w:val="both"/>
        <w:textAlignment w:val="auto"/>
        <w:rPr>
          <w:rFonts w:ascii="Times New Roman" w:hAnsi="Times New Roman"/>
          <w:lang w:eastAsia="zh-CN"/>
        </w:rPr>
      </w:pPr>
    </w:p>
    <w:p w14:paraId="7DF27A71">
      <w:pPr>
        <w:pStyle w:val="4"/>
        <w:keepNext w:val="0"/>
        <w:keepLines w:val="0"/>
        <w:pageBreakBefore w:val="0"/>
        <w:kinsoku/>
        <w:wordWrap/>
        <w:overflowPunct/>
        <w:topLinePunct w:val="0"/>
        <w:bidi w:val="0"/>
        <w:adjustRightInd w:val="0"/>
        <w:snapToGrid w:val="0"/>
        <w:spacing w:line="500" w:lineRule="exact"/>
        <w:jc w:val="both"/>
        <w:textAlignment w:val="auto"/>
        <w:rPr>
          <w:rFonts w:ascii="Times New Roman" w:hAnsi="Times New Roman"/>
          <w:lang w:eastAsia="zh-CN"/>
        </w:rPr>
      </w:pPr>
    </w:p>
    <w:p w14:paraId="598E7F64">
      <w:pPr>
        <w:pStyle w:val="4"/>
        <w:keepNext w:val="0"/>
        <w:keepLines w:val="0"/>
        <w:pageBreakBefore w:val="0"/>
        <w:kinsoku/>
        <w:wordWrap/>
        <w:overflowPunct/>
        <w:topLinePunct w:val="0"/>
        <w:bidi w:val="0"/>
        <w:adjustRightInd w:val="0"/>
        <w:snapToGrid w:val="0"/>
        <w:spacing w:line="500" w:lineRule="exact"/>
        <w:jc w:val="right"/>
        <w:textAlignment w:val="auto"/>
        <w:rPr>
          <w:rFonts w:ascii="Times New Roman" w:hAnsi="Times New Roman"/>
          <w:lang w:eastAsia="zh-CN"/>
        </w:rPr>
      </w:pPr>
    </w:p>
    <w:p w14:paraId="53961A0C">
      <w:pPr>
        <w:pStyle w:val="4"/>
        <w:keepNext w:val="0"/>
        <w:keepLines w:val="0"/>
        <w:pageBreakBefore w:val="0"/>
        <w:kinsoku/>
        <w:wordWrap/>
        <w:overflowPunct/>
        <w:topLinePunct w:val="0"/>
        <w:bidi w:val="0"/>
        <w:adjustRightInd w:val="0"/>
        <w:snapToGrid w:val="0"/>
        <w:spacing w:line="500" w:lineRule="exact"/>
        <w:jc w:val="right"/>
        <w:textAlignment w:val="auto"/>
        <w:rPr>
          <w:rFonts w:ascii="Times New Roman" w:hAnsi="Times New Roman"/>
          <w:lang w:eastAsia="zh-CN"/>
        </w:rPr>
      </w:pPr>
      <w:r>
        <w:rPr>
          <w:rFonts w:hint="eastAsia" w:ascii="Times New Roman" w:hAnsi="Times New Roman"/>
          <w:lang w:eastAsia="zh-CN"/>
        </w:rPr>
        <w:t>台山市自然资源局</w:t>
      </w:r>
    </w:p>
    <w:p w14:paraId="6D0128FA">
      <w:pPr>
        <w:pStyle w:val="4"/>
        <w:keepNext w:val="0"/>
        <w:keepLines w:val="0"/>
        <w:pageBreakBefore w:val="0"/>
        <w:kinsoku/>
        <w:wordWrap/>
        <w:overflowPunct/>
        <w:topLinePunct w:val="0"/>
        <w:bidi w:val="0"/>
        <w:adjustRightInd w:val="0"/>
        <w:snapToGrid w:val="0"/>
        <w:spacing w:line="500" w:lineRule="exact"/>
        <w:jc w:val="right"/>
        <w:textAlignment w:val="auto"/>
        <w:rPr>
          <w:rFonts w:ascii="Times New Roman" w:hAnsi="Times New Roman" w:cs="Times New Roman"/>
          <w:w w:val="99"/>
          <w:lang w:eastAsia="zh-CN"/>
        </w:rPr>
      </w:pPr>
      <w:r>
        <w:rPr>
          <w:rFonts w:hint="eastAsia" w:ascii="Times New Roman" w:hAnsi="Times New Roman"/>
          <w:lang w:eastAsia="zh-CN"/>
        </w:rPr>
        <w:t>2025年9月18日</w:t>
      </w:r>
    </w:p>
    <w:sectPr>
      <w:footerReference r:id="rId3" w:type="default"/>
      <w:pgSz w:w="11910" w:h="16840"/>
      <w:pgMar w:top="1440" w:right="1440" w:bottom="1440" w:left="1440"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9B35">
    <w:pPr>
      <w:pStyle w:val="4"/>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9921240</wp:posOffset>
              </wp:positionV>
              <wp:extent cx="109220" cy="153670"/>
              <wp:effectExtent l="635" t="0" r="4445" b="254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9220" cy="153670"/>
                      </a:xfrm>
                      <a:prstGeom prst="rect">
                        <a:avLst/>
                      </a:prstGeom>
                      <a:noFill/>
                      <a:ln>
                        <a:noFill/>
                      </a:ln>
                    </wps:spPr>
                    <wps:txbx>
                      <w:txbxContent>
                        <w:p w14:paraId="7FED1991">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3pt;margin-top:781.2pt;height:12.1pt;width:8.6pt;mso-position-horizontal-relative:page;mso-position-vertical-relative:page;z-index:-251657216;mso-width-relative:page;mso-height-relative:page;" filled="f" stroked="f" coordsize="21600,21600" o:gfxdata="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VgsENkAAAANAQAADwAAAAAAAAABACAAAAAiAAAAZHJzL2Rvd25yZXYu&#10;eG1sUEsBAhQAFAAAAAgAh07iQCBVMg36AQAAAwQAAA4AAAAAAAAAAQAgAAAAKAEAAGRycy9lMm9E&#10;b2MueG1sUEsFBgAAAAAGAAYAWQEAAJQFAAAAAA==&#10;">
              <v:fill on="f" focussize="0,0"/>
              <v:stroke on="f"/>
              <v:imagedata o:title=""/>
              <o:lock v:ext="edit" aspectratio="f"/>
              <v:textbox inset="0mm,0mm,0mm,0mm">
                <w:txbxContent>
                  <w:p w14:paraId="7FED1991">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1D"/>
    <w:rsid w:val="00043E77"/>
    <w:rsid w:val="000A45D4"/>
    <w:rsid w:val="000B5987"/>
    <w:rsid w:val="000E6135"/>
    <w:rsid w:val="00105247"/>
    <w:rsid w:val="0014664A"/>
    <w:rsid w:val="00192832"/>
    <w:rsid w:val="00192F07"/>
    <w:rsid w:val="001C795F"/>
    <w:rsid w:val="001E426A"/>
    <w:rsid w:val="001F66FD"/>
    <w:rsid w:val="00207876"/>
    <w:rsid w:val="002B1011"/>
    <w:rsid w:val="003462DF"/>
    <w:rsid w:val="00381502"/>
    <w:rsid w:val="00393446"/>
    <w:rsid w:val="00393C5D"/>
    <w:rsid w:val="003B09BA"/>
    <w:rsid w:val="003F0B4F"/>
    <w:rsid w:val="003F7874"/>
    <w:rsid w:val="00434CB9"/>
    <w:rsid w:val="00435ADC"/>
    <w:rsid w:val="00442614"/>
    <w:rsid w:val="00443AE5"/>
    <w:rsid w:val="004455A8"/>
    <w:rsid w:val="00565257"/>
    <w:rsid w:val="0059253D"/>
    <w:rsid w:val="005938F9"/>
    <w:rsid w:val="005A4CC3"/>
    <w:rsid w:val="005B110A"/>
    <w:rsid w:val="005E0A65"/>
    <w:rsid w:val="005E6954"/>
    <w:rsid w:val="00610F3B"/>
    <w:rsid w:val="0062200A"/>
    <w:rsid w:val="006369E9"/>
    <w:rsid w:val="006639BA"/>
    <w:rsid w:val="00664420"/>
    <w:rsid w:val="00665F37"/>
    <w:rsid w:val="0066763A"/>
    <w:rsid w:val="00687C7D"/>
    <w:rsid w:val="006A1309"/>
    <w:rsid w:val="006A67EF"/>
    <w:rsid w:val="006E2CA2"/>
    <w:rsid w:val="006E6A89"/>
    <w:rsid w:val="00712E85"/>
    <w:rsid w:val="007476A6"/>
    <w:rsid w:val="007750EF"/>
    <w:rsid w:val="00796182"/>
    <w:rsid w:val="007A0204"/>
    <w:rsid w:val="007F72BF"/>
    <w:rsid w:val="00826EBD"/>
    <w:rsid w:val="00830828"/>
    <w:rsid w:val="008333F1"/>
    <w:rsid w:val="008A3D48"/>
    <w:rsid w:val="008B506D"/>
    <w:rsid w:val="00903B1D"/>
    <w:rsid w:val="00915DD0"/>
    <w:rsid w:val="009301E2"/>
    <w:rsid w:val="009717F3"/>
    <w:rsid w:val="009743B6"/>
    <w:rsid w:val="009B3ED8"/>
    <w:rsid w:val="009B75A5"/>
    <w:rsid w:val="009C6433"/>
    <w:rsid w:val="00A005CC"/>
    <w:rsid w:val="00A22ABC"/>
    <w:rsid w:val="00A23103"/>
    <w:rsid w:val="00A44B96"/>
    <w:rsid w:val="00A71D75"/>
    <w:rsid w:val="00A73E41"/>
    <w:rsid w:val="00A828C6"/>
    <w:rsid w:val="00B02444"/>
    <w:rsid w:val="00B125FD"/>
    <w:rsid w:val="00B12AE1"/>
    <w:rsid w:val="00B42071"/>
    <w:rsid w:val="00B956EF"/>
    <w:rsid w:val="00B974F5"/>
    <w:rsid w:val="00BB0F6A"/>
    <w:rsid w:val="00BB3D63"/>
    <w:rsid w:val="00BC4A53"/>
    <w:rsid w:val="00BE3C8B"/>
    <w:rsid w:val="00BF2563"/>
    <w:rsid w:val="00C04AF6"/>
    <w:rsid w:val="00C218E7"/>
    <w:rsid w:val="00C46E86"/>
    <w:rsid w:val="00C77900"/>
    <w:rsid w:val="00CA068D"/>
    <w:rsid w:val="00CB73C3"/>
    <w:rsid w:val="00D32F08"/>
    <w:rsid w:val="00D3574B"/>
    <w:rsid w:val="00D54B33"/>
    <w:rsid w:val="00D54B6F"/>
    <w:rsid w:val="00D76A14"/>
    <w:rsid w:val="00DA4A2A"/>
    <w:rsid w:val="00DC0355"/>
    <w:rsid w:val="00E216FC"/>
    <w:rsid w:val="00E35C7C"/>
    <w:rsid w:val="00E53816"/>
    <w:rsid w:val="00E727BF"/>
    <w:rsid w:val="00EE4371"/>
    <w:rsid w:val="00F01D54"/>
    <w:rsid w:val="00F21BFD"/>
    <w:rsid w:val="00F21C44"/>
    <w:rsid w:val="00F62FC7"/>
    <w:rsid w:val="00F872D3"/>
    <w:rsid w:val="00F96855"/>
    <w:rsid w:val="00FD136B"/>
    <w:rsid w:val="00FF00DB"/>
    <w:rsid w:val="026551E3"/>
    <w:rsid w:val="041A176E"/>
    <w:rsid w:val="05613B3A"/>
    <w:rsid w:val="06A43D60"/>
    <w:rsid w:val="07742747"/>
    <w:rsid w:val="07C74677"/>
    <w:rsid w:val="0A5C6C10"/>
    <w:rsid w:val="10901624"/>
    <w:rsid w:val="112748B8"/>
    <w:rsid w:val="15005C48"/>
    <w:rsid w:val="152E2461"/>
    <w:rsid w:val="173B3A1A"/>
    <w:rsid w:val="1DEA5231"/>
    <w:rsid w:val="24AF69D9"/>
    <w:rsid w:val="26ED7129"/>
    <w:rsid w:val="29991976"/>
    <w:rsid w:val="29F80428"/>
    <w:rsid w:val="2C176FDF"/>
    <w:rsid w:val="31DE6252"/>
    <w:rsid w:val="370E7100"/>
    <w:rsid w:val="37C245EA"/>
    <w:rsid w:val="391825EC"/>
    <w:rsid w:val="3ACB495C"/>
    <w:rsid w:val="3BC94521"/>
    <w:rsid w:val="40766BC0"/>
    <w:rsid w:val="46896697"/>
    <w:rsid w:val="46A8490B"/>
    <w:rsid w:val="47A34A43"/>
    <w:rsid w:val="50594BF0"/>
    <w:rsid w:val="51D03CC1"/>
    <w:rsid w:val="551F2FAF"/>
    <w:rsid w:val="5B3E5798"/>
    <w:rsid w:val="5B856D01"/>
    <w:rsid w:val="637D0E81"/>
    <w:rsid w:val="639767EE"/>
    <w:rsid w:val="646B41ED"/>
    <w:rsid w:val="7573153F"/>
    <w:rsid w:val="763B0FC7"/>
    <w:rsid w:val="7AAF1337"/>
    <w:rsid w:val="7AB84BF9"/>
    <w:rsid w:val="7B71320F"/>
    <w:rsid w:val="7F62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9"/>
    <w:pPr>
      <w:spacing w:before="47"/>
      <w:ind w:left="120"/>
      <w:outlineLvl w:val="0"/>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autoSpaceDE/>
      <w:autoSpaceDN/>
      <w:ind w:left="1260"/>
    </w:pPr>
    <w:rPr>
      <w:rFonts w:asciiTheme="minorHAnsi" w:hAnsiTheme="minorHAnsi" w:eastAsiaTheme="minorEastAsia" w:cstheme="minorHAnsi"/>
      <w:kern w:val="2"/>
      <w:sz w:val="18"/>
      <w:szCs w:val="18"/>
      <w:lang w:eastAsia="zh-CN"/>
    </w:rPr>
  </w:style>
  <w:style w:type="paragraph" w:styleId="4">
    <w:name w:val="Body Text"/>
    <w:basedOn w:val="1"/>
    <w:qFormat/>
    <w:uiPriority w:val="1"/>
    <w:rPr>
      <w:sz w:val="28"/>
      <w:szCs w:val="28"/>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pPr>
      <w:ind w:left="153" w:right="134"/>
      <w:jc w:val="center"/>
    </w:pPr>
  </w:style>
  <w:style w:type="character" w:customStyle="1" w:styleId="15">
    <w:name w:val="页眉 字符"/>
    <w:basedOn w:val="10"/>
    <w:link w:val="8"/>
    <w:qFormat/>
    <w:uiPriority w:val="99"/>
    <w:rPr>
      <w:rFonts w:ascii="仿宋_GB2312" w:hAnsi="仿宋_GB2312" w:eastAsia="仿宋_GB2312" w:cs="仿宋_GB2312"/>
      <w:sz w:val="18"/>
      <w:szCs w:val="18"/>
    </w:rPr>
  </w:style>
  <w:style w:type="character" w:customStyle="1" w:styleId="16">
    <w:name w:val="页脚 字符"/>
    <w:basedOn w:val="10"/>
    <w:link w:val="7"/>
    <w:qFormat/>
    <w:uiPriority w:val="99"/>
    <w:rPr>
      <w:rFonts w:ascii="仿宋_GB2312" w:hAnsi="仿宋_GB2312" w:eastAsia="仿宋_GB2312" w:cs="仿宋_GB2312"/>
      <w:sz w:val="18"/>
      <w:szCs w:val="18"/>
    </w:rPr>
  </w:style>
  <w:style w:type="character" w:customStyle="1" w:styleId="17">
    <w:name w:val="批注框文本 字符"/>
    <w:basedOn w:val="10"/>
    <w:link w:val="6"/>
    <w:semiHidden/>
    <w:qFormat/>
    <w:uiPriority w:val="99"/>
    <w:rPr>
      <w:rFonts w:ascii="仿宋_GB2312" w:hAnsi="仿宋_GB2312" w:eastAsia="仿宋_GB2312" w:cs="仿宋_GB2312"/>
      <w:sz w:val="18"/>
      <w:szCs w:val="18"/>
    </w:rPr>
  </w:style>
  <w:style w:type="character" w:customStyle="1" w:styleId="18">
    <w:name w:val="日期 字符"/>
    <w:basedOn w:val="10"/>
    <w:link w:val="5"/>
    <w:semiHidden/>
    <w:qFormat/>
    <w:uiPriority w:val="99"/>
    <w:rPr>
      <w:rFonts w:ascii="仿宋_GB2312" w:hAnsi="仿宋_GB2312" w:eastAsia="仿宋_GB2312" w:cs="仿宋_GB2312"/>
      <w:sz w:val="22"/>
      <w:szCs w:val="22"/>
      <w:lang w:eastAsia="en-US"/>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2"/>
    <customShpInfo spid="_x0000_s2053"/>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02FDE-0750-47B3-81D0-D6CB3BA5D48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2278</Words>
  <Characters>2463</Characters>
  <Lines>17</Lines>
  <Paragraphs>5</Paragraphs>
  <TotalTime>0</TotalTime>
  <ScaleCrop>false</ScaleCrop>
  <LinksUpToDate>false</LinksUpToDate>
  <CharactersWithSpaces>2467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2022-08-19T08:00:00Z</dcterms:created>
  <dc:creator>丶   Jino</dc:creator>
  <cp:lastModifiedBy>35</cp:lastModifiedBy>
  <dcterms:modified xsi:type="dcterms:W3CDTF">2025-09-17T07:20:10Z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2052-12.1.0.22529</vt:lpwstr>
  </property>
  <property fmtid="{D5CDD505-2E9C-101B-9397-08002B2CF9AE}" pid="6" name="ICV">
    <vt:lpwstr>A992C9BE982A48A19F9FF3BBD526CF37</vt:lpwstr>
  </property>
  <property fmtid="{D5CDD505-2E9C-101B-9397-08002B2CF9AE}" pid="7" name="KSOTemplateDocerSaveRecord">
    <vt:lpwstr>eyJoZGlkIjoiMTE3YjE4MzdhMjk2YjgwMDZhMWQ5YjlhNTgxZTIwMjMiLCJ1c2VySWQiOiIyNTExNjAyNjcifQ==</vt:lpwstr>
  </property>
</Properties>
</file>