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4378F">
      <w:pPr>
        <w:pStyle w:val="4"/>
        <w:spacing w:before="3"/>
        <w:jc w:val="center"/>
        <w:rPr>
          <w:rFonts w:hint="eastAsia" w:ascii="黑体" w:hAnsi="黑体" w:eastAsia="黑体"/>
          <w:b/>
          <w:bCs/>
          <w:color w:val="EE0000"/>
          <w:sz w:val="44"/>
          <w:szCs w:val="44"/>
          <w:lang w:eastAsia="zh-CN"/>
        </w:rPr>
      </w:pPr>
      <w:r>
        <w:rPr>
          <w:rFonts w:asciiTheme="minorEastAsia" w:hAnsiTheme="minorEastAsia"/>
          <w:b/>
          <w:sz w:val="44"/>
          <w:szCs w:val="44"/>
        </w:rPr>
        <w:pict>
          <v:group id="_x0000_s2050" o:spid="_x0000_s2050" o:spt="203" style="position:absolute;left:0pt;margin-left:-5.1pt;margin-top:-6.75pt;height:59.25pt;width:473.25pt;z-index:251660288;mso-width-relative:page;mso-height-relative:page;" coordorigin="1188,1665" coordsize="9465,1185">
            <o:lock v:ext="edit"/>
            <v:shape id="_x0000_s2051" o:spid="_x0000_s2051" o:spt="136" type="#_x0000_t136" style="position:absolute;left:1605;top:1665;height:855;width:8655;" fillcolor="#FF5050" filled="t" stroked="f" coordsize="21600,21600">
              <v:path/>
              <v:fill on="t" focussize="0,0"/>
              <v:stroke on="f"/>
              <v:imagedata o:title=""/>
              <o:lock v:ext="edit"/>
              <v:textpath on="t" fitshape="t" fitpath="t" trim="t" xscale="f" string="台 山 市 自 然 资 源 局" style="font-family:华文中宋;font-size:36pt;v-text-align:center;"/>
            </v:shape>
            <v:shape id="_x0000_s2052" o:spid="_x0000_s2052" o:spt="32" type="#_x0000_t32" style="position:absolute;left:1188;top:2760;height:0;width:9465;" filled="f" stroked="t" coordsize="21600,21600">
              <v:path arrowok="t"/>
              <v:fill on="f" focussize="0,0"/>
              <v:stroke weight="2.25pt" color="#FF5050"/>
              <v:imagedata o:title=""/>
              <o:lock v:ext="edit"/>
            </v:shape>
            <v:shape id="_x0000_s2053" o:spid="_x0000_s2053" o:spt="32" type="#_x0000_t32" style="position:absolute;left:1188;top:2850;height:0;width:9465;" filled="f" stroked="t" coordsize="21600,21600">
              <v:path arrowok="t"/>
              <v:fill on="f" focussize="0,0"/>
              <v:stroke weight="1pt" color="#FF5050"/>
              <v:imagedata o:title=""/>
              <o:lock v:ext="edit"/>
            </v:shape>
          </v:group>
        </w:pict>
      </w:r>
    </w:p>
    <w:p w14:paraId="287BF284">
      <w:pPr>
        <w:pStyle w:val="4"/>
        <w:spacing w:before="3"/>
        <w:jc w:val="center"/>
        <w:rPr>
          <w:rFonts w:hint="eastAsia" w:ascii="黑体" w:hAnsi="黑体" w:eastAsia="黑体"/>
          <w:b/>
          <w:bCs/>
          <w:color w:val="EE0000"/>
          <w:sz w:val="44"/>
          <w:szCs w:val="44"/>
          <w:lang w:eastAsia="zh-CN"/>
        </w:rPr>
      </w:pPr>
    </w:p>
    <w:p w14:paraId="07A9EFAE">
      <w:pPr>
        <w:pStyle w:val="4"/>
        <w:keepNext w:val="0"/>
        <w:keepLines w:val="0"/>
        <w:pageBreakBefore w:val="0"/>
        <w:kinsoku/>
        <w:wordWrap/>
        <w:overflowPunct/>
        <w:topLinePunct w:val="0"/>
        <w:bidi w:val="0"/>
        <w:spacing w:before="3" w:line="500" w:lineRule="atLeast"/>
        <w:jc w:val="center"/>
        <w:textAlignment w:val="auto"/>
        <w:rPr>
          <w:rFonts w:hint="eastAsia" w:ascii="黑体" w:hAnsi="黑体" w:eastAsia="黑体"/>
          <w:b/>
          <w:bCs/>
          <w:sz w:val="44"/>
          <w:szCs w:val="44"/>
          <w:lang w:eastAsia="zh-CN"/>
        </w:rPr>
      </w:pPr>
      <w:r>
        <w:rPr>
          <w:rFonts w:hint="eastAsia" w:ascii="黑体" w:hAnsi="黑体" w:eastAsia="黑体"/>
          <w:b/>
          <w:bCs/>
          <w:sz w:val="44"/>
          <w:szCs w:val="44"/>
          <w:lang w:eastAsia="zh-CN"/>
        </w:rPr>
        <w:t>江门市台山市2</w:t>
      </w:r>
      <w:r>
        <w:rPr>
          <w:rFonts w:ascii="黑体" w:hAnsi="黑体" w:eastAsia="黑体"/>
          <w:b/>
          <w:bCs/>
          <w:sz w:val="44"/>
          <w:szCs w:val="44"/>
          <w:lang w:eastAsia="zh-CN"/>
        </w:rPr>
        <w:t>0</w:t>
      </w:r>
      <w:r>
        <w:rPr>
          <w:rFonts w:hint="eastAsia" w:ascii="黑体" w:hAnsi="黑体" w:eastAsia="黑体"/>
          <w:b/>
          <w:bCs/>
          <w:sz w:val="44"/>
          <w:szCs w:val="44"/>
          <w:lang w:eastAsia="zh-CN"/>
        </w:rPr>
        <w:t>25年度土地征收成片开发</w:t>
      </w:r>
    </w:p>
    <w:p w14:paraId="1492B59D">
      <w:pPr>
        <w:pStyle w:val="4"/>
        <w:keepNext w:val="0"/>
        <w:keepLines w:val="0"/>
        <w:pageBreakBefore w:val="0"/>
        <w:kinsoku/>
        <w:wordWrap/>
        <w:overflowPunct/>
        <w:topLinePunct w:val="0"/>
        <w:bidi w:val="0"/>
        <w:spacing w:before="3" w:line="500" w:lineRule="atLeast"/>
        <w:jc w:val="center"/>
        <w:textAlignment w:val="auto"/>
        <w:rPr>
          <w:rFonts w:hint="eastAsia" w:ascii="黑体" w:hAnsi="黑体" w:eastAsia="黑体"/>
          <w:b/>
          <w:bCs/>
          <w:sz w:val="44"/>
          <w:szCs w:val="44"/>
          <w:lang w:eastAsia="zh-CN"/>
        </w:rPr>
      </w:pPr>
      <w:r>
        <w:rPr>
          <w:rFonts w:hint="eastAsia" w:ascii="黑体" w:hAnsi="黑体" w:eastAsia="黑体"/>
          <w:b/>
          <w:bCs/>
          <w:sz w:val="44"/>
          <w:szCs w:val="44"/>
          <w:lang w:eastAsia="zh-CN"/>
        </w:rPr>
        <w:t>方案（第二批）（草案）</w:t>
      </w:r>
    </w:p>
    <w:p w14:paraId="69B3B6F3">
      <w:pPr>
        <w:pStyle w:val="4"/>
        <w:keepNext w:val="0"/>
        <w:keepLines w:val="0"/>
        <w:pageBreakBefore w:val="0"/>
        <w:kinsoku/>
        <w:wordWrap/>
        <w:overflowPunct/>
        <w:topLinePunct w:val="0"/>
        <w:bidi w:val="0"/>
        <w:spacing w:before="3" w:line="500" w:lineRule="atLeast"/>
        <w:jc w:val="center"/>
        <w:textAlignment w:val="auto"/>
        <w:rPr>
          <w:rFonts w:hint="eastAsia" w:ascii="黑体" w:hAnsi="黑体" w:eastAsia="黑体"/>
          <w:b/>
          <w:bCs/>
          <w:sz w:val="44"/>
          <w:szCs w:val="44"/>
          <w:lang w:eastAsia="zh-CN"/>
        </w:rPr>
      </w:pPr>
    </w:p>
    <w:p w14:paraId="5B4DF30B">
      <w:pPr>
        <w:pStyle w:val="2"/>
        <w:keepNext w:val="0"/>
        <w:keepLines w:val="0"/>
        <w:pageBreakBefore w:val="0"/>
        <w:kinsoku/>
        <w:wordWrap/>
        <w:overflowPunct/>
        <w:topLinePunct w:val="0"/>
        <w:bidi w:val="0"/>
        <w:spacing w:before="12" w:line="500" w:lineRule="atLeast"/>
        <w:ind w:left="0"/>
        <w:textAlignment w:val="auto"/>
        <w:rPr>
          <w:rFonts w:hint="eastAsia" w:ascii="黑体" w:hAnsi="黑体" w:eastAsia="黑体"/>
          <w:lang w:eastAsia="zh-CN"/>
        </w:rPr>
      </w:pPr>
      <w:r>
        <w:rPr>
          <w:rFonts w:ascii="黑体" w:hAnsi="黑体" w:eastAsia="黑体"/>
          <w:lang w:eastAsia="zh-CN"/>
        </w:rPr>
        <w:t>一、编制依据</w:t>
      </w:r>
    </w:p>
    <w:p w14:paraId="5871D0E0">
      <w:pPr>
        <w:keepNext w:val="0"/>
        <w:keepLines w:val="0"/>
        <w:pageBreakBefore w:val="0"/>
        <w:kinsoku/>
        <w:wordWrap/>
        <w:overflowPunct/>
        <w:topLinePunct w:val="0"/>
        <w:bidi w:val="0"/>
        <w:spacing w:line="500" w:lineRule="atLeast"/>
        <w:ind w:firstLine="560" w:firstLineChars="200"/>
        <w:jc w:val="both"/>
        <w:textAlignment w:val="auto"/>
        <w:rPr>
          <w:rFonts w:hint="eastAsia"/>
          <w:lang w:eastAsia="zh-CN"/>
        </w:rPr>
      </w:pPr>
      <w:r>
        <w:rPr>
          <w:rFonts w:ascii="Times New Roman" w:hAnsi="Times New Roman" w:cs="Times New Roman"/>
          <w:sz w:val="28"/>
          <w:szCs w:val="28"/>
          <w:lang w:eastAsia="zh-CN"/>
        </w:rPr>
        <w:t>依据</w:t>
      </w:r>
      <w:bookmarkStart w:id="0" w:name="_Hlk204436604"/>
      <w:r>
        <w:rPr>
          <w:rFonts w:ascii="Times New Roman" w:hAnsi="Times New Roman" w:cs="Times New Roman"/>
          <w:sz w:val="28"/>
          <w:szCs w:val="28"/>
          <w:lang w:eastAsia="zh-CN"/>
        </w:rPr>
        <w:t>《中华人民共和国土地管理法》（2019年修订）、</w:t>
      </w:r>
      <w:r>
        <w:rPr>
          <w:rFonts w:hint="eastAsia" w:ascii="Times New Roman" w:hAnsi="Times New Roman" w:cs="Times New Roman"/>
          <w:sz w:val="28"/>
          <w:szCs w:val="28"/>
          <w:lang w:eastAsia="zh-CN"/>
        </w:rPr>
        <w:t>《自然资源部关于印发</w:t>
      </w:r>
      <w:r>
        <w:rPr>
          <w:rFonts w:ascii="Times New Roman" w:hAnsi="Times New Roman" w:cs="Times New Roman"/>
          <w:sz w:val="28"/>
          <w:szCs w:val="28"/>
          <w:lang w:eastAsia="zh-CN"/>
        </w:rPr>
        <w:t>&lt;土地征收成片开发标准&gt;的通知》（自然资规〔2023〕7号）、</w:t>
      </w:r>
      <w:r>
        <w:rPr>
          <w:rFonts w:hint="eastAsia" w:ascii="Times New Roman" w:hAnsi="Times New Roman" w:cs="Times New Roman"/>
          <w:sz w:val="28"/>
          <w:szCs w:val="28"/>
          <w:lang w:eastAsia="zh-CN"/>
        </w:rPr>
        <w:t>《广东省自然资源厅关于进一步规范土地征收成片开发工作的通知》（粤自然资规字〔2024〕7号）</w:t>
      </w:r>
      <w:bookmarkEnd w:id="0"/>
      <w:r>
        <w:rPr>
          <w:rFonts w:hint="eastAsia" w:ascii="Times New Roman" w:hAnsi="Times New Roman" w:cs="Times New Roman"/>
          <w:sz w:val="28"/>
          <w:szCs w:val="28"/>
          <w:lang w:eastAsia="zh-CN"/>
        </w:rPr>
        <w:t>等相关文件，</w:t>
      </w:r>
      <w:r>
        <w:rPr>
          <w:rFonts w:ascii="Times New Roman" w:hAnsi="Times New Roman" w:cs="Times New Roman"/>
          <w:sz w:val="28"/>
          <w:szCs w:val="28"/>
          <w:lang w:eastAsia="zh-CN"/>
        </w:rPr>
        <w:t>编制《江门市台山市20</w:t>
      </w:r>
      <w:r>
        <w:rPr>
          <w:rFonts w:hint="eastAsia" w:ascii="Times New Roman" w:hAnsi="Times New Roman" w:cs="Times New Roman"/>
          <w:sz w:val="28"/>
          <w:szCs w:val="28"/>
          <w:lang w:eastAsia="zh-CN"/>
        </w:rPr>
        <w:t>25</w:t>
      </w:r>
      <w:r>
        <w:rPr>
          <w:rFonts w:ascii="Times New Roman" w:hAnsi="Times New Roman" w:cs="Times New Roman"/>
          <w:sz w:val="28"/>
          <w:szCs w:val="28"/>
          <w:lang w:eastAsia="zh-CN"/>
        </w:rPr>
        <w:t>年度土地征收成片开发方案</w:t>
      </w:r>
      <w:r>
        <w:rPr>
          <w:rFonts w:hint="eastAsia" w:ascii="Times New Roman" w:hAnsi="Times New Roman" w:cs="Times New Roman"/>
          <w:sz w:val="28"/>
          <w:szCs w:val="28"/>
          <w:lang w:eastAsia="zh-CN"/>
        </w:rPr>
        <w:t>（第二批）</w:t>
      </w:r>
      <w:r>
        <w:rPr>
          <w:rFonts w:ascii="Times New Roman" w:hAnsi="Times New Roman" w:cs="Times New Roman"/>
          <w:sz w:val="28"/>
          <w:szCs w:val="28"/>
          <w:lang w:eastAsia="zh-CN"/>
        </w:rPr>
        <w:t>》</w:t>
      </w:r>
      <w:r>
        <w:rPr>
          <w:rFonts w:hint="eastAsia" w:ascii="Times New Roman" w:hAnsi="Times New Roman" w:cs="Times New Roman"/>
          <w:sz w:val="28"/>
          <w:szCs w:val="28"/>
          <w:lang w:eastAsia="zh-CN"/>
        </w:rPr>
        <w:t>（以下简称</w:t>
      </w:r>
      <w:bookmarkStart w:id="1" w:name="_Hlk170476789"/>
      <w:r>
        <w:rPr>
          <w:rFonts w:hint="eastAsia" w:ascii="Times New Roman" w:hAnsi="Times New Roman" w:cs="Times New Roman"/>
          <w:sz w:val="28"/>
          <w:szCs w:val="28"/>
          <w:lang w:eastAsia="zh-CN"/>
        </w:rPr>
        <w:t>《方案》</w:t>
      </w:r>
      <w:bookmarkEnd w:id="1"/>
      <w:r>
        <w:rPr>
          <w:rFonts w:hint="eastAsia" w:ascii="Times New Roman" w:hAnsi="Times New Roman" w:cs="Times New Roman"/>
          <w:sz w:val="28"/>
          <w:szCs w:val="28"/>
          <w:lang w:eastAsia="zh-CN"/>
        </w:rPr>
        <w:t>），本次《方案》为城镇开发边界外的成片开发方案单独组卷</w:t>
      </w:r>
      <w:r>
        <w:rPr>
          <w:lang w:eastAsia="zh-CN"/>
        </w:rPr>
        <w:t>。</w:t>
      </w:r>
    </w:p>
    <w:p w14:paraId="21670016">
      <w:pPr>
        <w:pStyle w:val="2"/>
        <w:keepNext w:val="0"/>
        <w:keepLines w:val="0"/>
        <w:pageBreakBefore w:val="0"/>
        <w:kinsoku/>
        <w:wordWrap/>
        <w:overflowPunct/>
        <w:topLinePunct w:val="0"/>
        <w:bidi w:val="0"/>
        <w:spacing w:before="12" w:line="500" w:lineRule="atLeast"/>
        <w:ind w:left="0"/>
        <w:textAlignment w:val="auto"/>
        <w:rPr>
          <w:rFonts w:hint="eastAsia" w:ascii="黑体" w:hAnsi="黑体" w:eastAsia="黑体"/>
          <w:lang w:eastAsia="zh-CN"/>
        </w:rPr>
      </w:pPr>
      <w:r>
        <w:rPr>
          <w:rFonts w:ascii="黑体" w:hAnsi="黑体" w:eastAsia="黑体"/>
          <w:lang w:eastAsia="zh-CN"/>
        </w:rPr>
        <w:t>二、基本情况</w:t>
      </w:r>
    </w:p>
    <w:p w14:paraId="077B1640">
      <w:pPr>
        <w:pStyle w:val="4"/>
        <w:keepNext w:val="0"/>
        <w:keepLines w:val="0"/>
        <w:pageBreakBefore w:val="0"/>
        <w:kinsoku/>
        <w:wordWrap/>
        <w:overflowPunct/>
        <w:topLinePunct w:val="0"/>
        <w:bidi w:val="0"/>
        <w:spacing w:line="500" w:lineRule="atLeast"/>
        <w:ind w:firstLine="560" w:firstLineChars="200"/>
        <w:jc w:val="both"/>
        <w:textAlignment w:val="auto"/>
        <w:rPr>
          <w:rFonts w:ascii="Times New Roman" w:hAnsi="Times New Roman" w:cs="Times New Roman"/>
          <w:lang w:eastAsia="zh-CN"/>
        </w:rPr>
      </w:pPr>
      <w:r>
        <w:rPr>
          <w:rFonts w:ascii="Times New Roman" w:hAnsi="Times New Roman" w:cs="Times New Roman"/>
          <w:lang w:eastAsia="zh-CN"/>
        </w:rPr>
        <w:t>（一）区域位置</w:t>
      </w:r>
    </w:p>
    <w:p w14:paraId="0E0A69B5">
      <w:pPr>
        <w:pStyle w:val="4"/>
        <w:keepNext w:val="0"/>
        <w:keepLines w:val="0"/>
        <w:pageBreakBefore w:val="0"/>
        <w:kinsoku/>
        <w:wordWrap/>
        <w:overflowPunct/>
        <w:topLinePunct w:val="0"/>
        <w:bidi w:val="0"/>
        <w:spacing w:line="500" w:lineRule="atLeast"/>
        <w:ind w:firstLine="560" w:firstLineChars="200"/>
        <w:jc w:val="both"/>
        <w:textAlignment w:val="auto"/>
        <w:rPr>
          <w:rFonts w:ascii="Times New Roman" w:hAnsi="Times New Roman" w:cs="Times New Roman"/>
          <w:lang w:eastAsia="zh-CN"/>
        </w:rPr>
      </w:pPr>
      <w:r>
        <w:rPr>
          <w:rFonts w:ascii="Times New Roman" w:hAnsi="Times New Roman" w:cs="Times New Roman"/>
          <w:lang w:eastAsia="zh-CN"/>
        </w:rPr>
        <w:t>本次</w:t>
      </w:r>
      <w:r>
        <w:rPr>
          <w:rFonts w:hint="eastAsia" w:ascii="Times New Roman" w:hAnsi="Times New Roman" w:cs="Times New Roman"/>
          <w:lang w:eastAsia="zh-CN"/>
        </w:rPr>
        <w:t>《方案》编制范围</w:t>
      </w:r>
      <w:r>
        <w:rPr>
          <w:rFonts w:ascii="Times New Roman" w:hAnsi="Times New Roman" w:cs="Times New Roman"/>
          <w:lang w:eastAsia="zh-CN"/>
        </w:rPr>
        <w:t>位于台山市行政区划范围内</w:t>
      </w:r>
      <w:r>
        <w:rPr>
          <w:rFonts w:hint="eastAsia" w:ascii="Times New Roman" w:hAnsi="Times New Roman" w:cs="Times New Roman"/>
          <w:lang w:eastAsia="zh-CN"/>
        </w:rPr>
        <w:t>，</w:t>
      </w:r>
      <w:r>
        <w:rPr>
          <w:rFonts w:ascii="Times New Roman" w:hAnsi="Times New Roman" w:cs="Times New Roman"/>
          <w:lang w:eastAsia="zh-CN"/>
        </w:rPr>
        <w:t>共划定</w:t>
      </w:r>
      <w:r>
        <w:rPr>
          <w:rFonts w:hint="eastAsia" w:ascii="Times New Roman" w:hAnsi="Times New Roman" w:cs="Times New Roman"/>
          <w:lang w:eastAsia="zh-CN"/>
        </w:rPr>
        <w:t>2</w:t>
      </w:r>
      <w:r>
        <w:rPr>
          <w:rFonts w:ascii="Times New Roman" w:hAnsi="Times New Roman" w:cs="Times New Roman"/>
          <w:lang w:eastAsia="zh-CN"/>
        </w:rPr>
        <w:t>个成片开发范围</w:t>
      </w:r>
      <w:r>
        <w:rPr>
          <w:rFonts w:hint="eastAsia" w:ascii="Times New Roman" w:hAnsi="Times New Roman" w:cs="Times New Roman"/>
          <w:lang w:eastAsia="zh-CN"/>
        </w:rPr>
        <w:t>。</w:t>
      </w:r>
      <w:r>
        <w:rPr>
          <w:rFonts w:ascii="Times New Roman" w:hAnsi="Times New Roman" w:cs="Times New Roman"/>
          <w:lang w:eastAsia="zh-CN"/>
        </w:rPr>
        <w:t>片区位置详见下表</w:t>
      </w:r>
      <w:r>
        <w:rPr>
          <w:rFonts w:hint="eastAsia" w:ascii="Times New Roman" w:hAnsi="Times New Roman" w:cs="Times New Roman"/>
          <w:lang w:eastAsia="zh-CN"/>
        </w:rPr>
        <w:t>：</w:t>
      </w:r>
    </w:p>
    <w:p w14:paraId="2DB13696">
      <w:pPr>
        <w:pStyle w:val="4"/>
        <w:keepNext w:val="0"/>
        <w:keepLines w:val="0"/>
        <w:pageBreakBefore w:val="0"/>
        <w:kinsoku/>
        <w:wordWrap/>
        <w:overflowPunct/>
        <w:topLinePunct w:val="0"/>
        <w:bidi w:val="0"/>
        <w:spacing w:before="1" w:line="500" w:lineRule="atLeast"/>
        <w:jc w:val="center"/>
        <w:textAlignment w:val="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表1</w:t>
      </w:r>
      <w:r>
        <w:rPr>
          <w:rFonts w:hint="eastAsia" w:ascii="Times New Roman" w:hAnsi="Times New Roman" w:cs="Times New Roman"/>
          <w:b/>
          <w:bCs/>
          <w:sz w:val="24"/>
          <w:szCs w:val="24"/>
          <w:lang w:eastAsia="zh-CN"/>
        </w:rPr>
        <w:t xml:space="preserve"> </w:t>
      </w:r>
      <w:r>
        <w:rPr>
          <w:rFonts w:ascii="Times New Roman" w:hAnsi="Times New Roman" w:cs="Times New Roman"/>
          <w:b/>
          <w:bCs/>
          <w:sz w:val="24"/>
          <w:szCs w:val="24"/>
          <w:lang w:eastAsia="zh-CN"/>
        </w:rPr>
        <w:t xml:space="preserve"> 片区概况汇总表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3197"/>
        <w:gridCol w:w="1596"/>
        <w:gridCol w:w="3440"/>
      </w:tblGrid>
      <w:tr w14:paraId="22B6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548" w:type="pct"/>
            <w:vAlign w:val="center"/>
          </w:tcPr>
          <w:p w14:paraId="0050ACA8">
            <w:pPr>
              <w:keepNext w:val="0"/>
              <w:keepLines w:val="0"/>
              <w:pageBreakBefore w:val="0"/>
              <w:widowControl/>
              <w:kinsoku/>
              <w:wordWrap/>
              <w:overflowPunct/>
              <w:topLinePunct w:val="0"/>
              <w:autoSpaceDE/>
              <w:autoSpaceDN/>
              <w:bidi w:val="0"/>
              <w:adjustRightInd w:val="0"/>
              <w:snapToGrid w:val="0"/>
              <w:spacing w:line="500" w:lineRule="atLeast"/>
              <w:jc w:val="center"/>
              <w:textAlignment w:val="auto"/>
              <w:rPr>
                <w:rFonts w:ascii="Times New Roman" w:hAnsi="Times New Roman" w:cs="Times New Roman"/>
                <w:b/>
                <w:bCs/>
                <w:color w:val="000000"/>
                <w:sz w:val="24"/>
                <w:szCs w:val="24"/>
                <w:lang w:eastAsia="zh-CN"/>
              </w:rPr>
            </w:pPr>
            <w:r>
              <w:rPr>
                <w:rFonts w:ascii="Times New Roman" w:hAnsi="Times New Roman" w:cs="Times New Roman"/>
                <w:b/>
                <w:bCs/>
                <w:color w:val="000000"/>
                <w:sz w:val="24"/>
                <w:szCs w:val="24"/>
                <w:lang w:eastAsia="zh-CN"/>
              </w:rPr>
              <w:t>序号</w:t>
            </w:r>
          </w:p>
        </w:tc>
        <w:tc>
          <w:tcPr>
            <w:tcW w:w="1729" w:type="pct"/>
            <w:vAlign w:val="center"/>
          </w:tcPr>
          <w:p w14:paraId="31FC6713">
            <w:pPr>
              <w:keepNext w:val="0"/>
              <w:keepLines w:val="0"/>
              <w:pageBreakBefore w:val="0"/>
              <w:widowControl/>
              <w:kinsoku/>
              <w:wordWrap/>
              <w:overflowPunct/>
              <w:topLinePunct w:val="0"/>
              <w:autoSpaceDE/>
              <w:autoSpaceDN/>
              <w:bidi w:val="0"/>
              <w:adjustRightInd w:val="0"/>
              <w:snapToGrid w:val="0"/>
              <w:spacing w:line="500" w:lineRule="atLeast"/>
              <w:jc w:val="center"/>
              <w:textAlignment w:val="auto"/>
              <w:rPr>
                <w:rFonts w:ascii="Times New Roman" w:hAnsi="Times New Roman" w:cs="Times New Roman"/>
                <w:b/>
                <w:bCs/>
                <w:color w:val="000000"/>
                <w:sz w:val="24"/>
                <w:szCs w:val="24"/>
                <w:lang w:eastAsia="zh-CN"/>
              </w:rPr>
            </w:pPr>
            <w:r>
              <w:rPr>
                <w:rFonts w:ascii="Times New Roman" w:hAnsi="Times New Roman" w:cs="Times New Roman"/>
                <w:b/>
                <w:bCs/>
                <w:color w:val="000000"/>
                <w:sz w:val="24"/>
                <w:szCs w:val="24"/>
                <w:lang w:eastAsia="zh-CN"/>
              </w:rPr>
              <w:t>名称</w:t>
            </w:r>
          </w:p>
        </w:tc>
        <w:tc>
          <w:tcPr>
            <w:tcW w:w="863" w:type="pct"/>
            <w:vAlign w:val="center"/>
          </w:tcPr>
          <w:p w14:paraId="5CACCB7B">
            <w:pPr>
              <w:keepNext w:val="0"/>
              <w:keepLines w:val="0"/>
              <w:pageBreakBefore w:val="0"/>
              <w:widowControl/>
              <w:kinsoku/>
              <w:wordWrap/>
              <w:overflowPunct/>
              <w:topLinePunct w:val="0"/>
              <w:autoSpaceDE/>
              <w:autoSpaceDN/>
              <w:bidi w:val="0"/>
              <w:adjustRightInd w:val="0"/>
              <w:snapToGrid w:val="0"/>
              <w:spacing w:line="500" w:lineRule="atLeast"/>
              <w:jc w:val="center"/>
              <w:textAlignment w:val="auto"/>
              <w:rPr>
                <w:rFonts w:ascii="Times New Roman" w:hAnsi="Times New Roman" w:cs="Times New Roman"/>
                <w:b/>
                <w:bCs/>
                <w:color w:val="000000"/>
                <w:sz w:val="24"/>
                <w:szCs w:val="24"/>
                <w:lang w:eastAsia="zh-CN"/>
              </w:rPr>
            </w:pPr>
            <w:r>
              <w:rPr>
                <w:rFonts w:ascii="Times New Roman" w:hAnsi="Times New Roman" w:cs="Times New Roman"/>
                <w:b/>
                <w:bCs/>
                <w:color w:val="000000"/>
                <w:sz w:val="24"/>
                <w:szCs w:val="24"/>
                <w:lang w:eastAsia="zh-CN"/>
              </w:rPr>
              <w:t>位置</w:t>
            </w:r>
          </w:p>
        </w:tc>
        <w:tc>
          <w:tcPr>
            <w:tcW w:w="1860" w:type="pct"/>
            <w:vAlign w:val="center"/>
          </w:tcPr>
          <w:p w14:paraId="3B0B06AA">
            <w:pPr>
              <w:keepNext w:val="0"/>
              <w:keepLines w:val="0"/>
              <w:pageBreakBefore w:val="0"/>
              <w:widowControl/>
              <w:kinsoku/>
              <w:wordWrap/>
              <w:overflowPunct/>
              <w:topLinePunct w:val="0"/>
              <w:autoSpaceDE/>
              <w:autoSpaceDN/>
              <w:bidi w:val="0"/>
              <w:adjustRightInd w:val="0"/>
              <w:snapToGrid w:val="0"/>
              <w:spacing w:line="500" w:lineRule="atLeast"/>
              <w:jc w:val="center"/>
              <w:textAlignment w:val="auto"/>
              <w:rPr>
                <w:rFonts w:ascii="Times New Roman" w:hAnsi="Times New Roman" w:cs="Times New Roman"/>
                <w:b/>
                <w:bCs/>
                <w:color w:val="000000"/>
                <w:sz w:val="24"/>
                <w:szCs w:val="24"/>
                <w:lang w:eastAsia="zh-CN"/>
              </w:rPr>
            </w:pPr>
            <w:r>
              <w:rPr>
                <w:rFonts w:hint="eastAsia" w:ascii="Times New Roman" w:hAnsi="Times New Roman" w:cs="Times New Roman"/>
                <w:b/>
                <w:bCs/>
                <w:color w:val="000000"/>
                <w:sz w:val="24"/>
                <w:szCs w:val="24"/>
                <w:lang w:eastAsia="zh-CN"/>
              </w:rPr>
              <w:t>成片开发范围</w:t>
            </w:r>
            <w:r>
              <w:rPr>
                <w:rFonts w:ascii="Times New Roman" w:hAnsi="Times New Roman" w:cs="Times New Roman"/>
                <w:b/>
                <w:bCs/>
                <w:color w:val="000000"/>
                <w:sz w:val="24"/>
                <w:szCs w:val="24"/>
                <w:lang w:eastAsia="zh-CN"/>
              </w:rPr>
              <w:t>面积（公顷）</w:t>
            </w:r>
          </w:p>
        </w:tc>
      </w:tr>
      <w:tr w14:paraId="6DBB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8" w:type="pct"/>
            <w:noWrap/>
            <w:vAlign w:val="center"/>
          </w:tcPr>
          <w:p w14:paraId="553A2CDE">
            <w:pPr>
              <w:keepNext w:val="0"/>
              <w:keepLines w:val="0"/>
              <w:pageBreakBefore w:val="0"/>
              <w:widowControl/>
              <w:kinsoku/>
              <w:wordWrap/>
              <w:overflowPunct/>
              <w:topLinePunct w:val="0"/>
              <w:autoSpaceDE/>
              <w:autoSpaceDN/>
              <w:bidi w:val="0"/>
              <w:adjustRightInd w:val="0"/>
              <w:snapToGrid w:val="0"/>
              <w:spacing w:line="500" w:lineRule="atLeast"/>
              <w:jc w:val="center"/>
              <w:textAlignment w:val="auto"/>
              <w:rPr>
                <w:rFonts w:ascii="Times New Roman" w:hAnsi="Times New Roman" w:cs="Times New Roman"/>
                <w:color w:val="000000"/>
                <w:sz w:val="24"/>
                <w:szCs w:val="24"/>
                <w:lang w:eastAsia="zh-CN"/>
              </w:rPr>
            </w:pPr>
            <w:r>
              <w:rPr>
                <w:rFonts w:ascii="Times New Roman" w:hAnsi="Times New Roman" w:cs="Times New Roman"/>
                <w:color w:val="000000"/>
                <w:sz w:val="24"/>
                <w:szCs w:val="24"/>
              </w:rPr>
              <w:t>1</w:t>
            </w:r>
          </w:p>
        </w:tc>
        <w:tc>
          <w:tcPr>
            <w:tcW w:w="1729" w:type="pct"/>
            <w:vAlign w:val="center"/>
          </w:tcPr>
          <w:p w14:paraId="33D81219">
            <w:pPr>
              <w:keepNext w:val="0"/>
              <w:keepLines w:val="0"/>
              <w:pageBreakBefore w:val="0"/>
              <w:widowControl/>
              <w:kinsoku/>
              <w:wordWrap/>
              <w:overflowPunct/>
              <w:topLinePunct w:val="0"/>
              <w:autoSpaceDE/>
              <w:autoSpaceDN/>
              <w:bidi w:val="0"/>
              <w:adjustRightInd w:val="0"/>
              <w:snapToGrid w:val="0"/>
              <w:spacing w:line="500" w:lineRule="atLeast"/>
              <w:jc w:val="center"/>
              <w:textAlignment w:val="auto"/>
              <w:rPr>
                <w:rFonts w:ascii="Times New Roman" w:hAnsi="Times New Roman" w:cs="Times New Roman"/>
                <w:color w:val="000000"/>
                <w:sz w:val="24"/>
                <w:szCs w:val="24"/>
                <w:lang w:eastAsia="zh-CN"/>
              </w:rPr>
            </w:pPr>
            <w:r>
              <w:rPr>
                <w:rFonts w:hint="eastAsia"/>
                <w:color w:val="000000"/>
                <w:sz w:val="24"/>
                <w:szCs w:val="24"/>
                <w:lang w:eastAsia="zh-CN"/>
              </w:rPr>
              <w:t>北陡镇沙咀村商业片区</w:t>
            </w:r>
          </w:p>
        </w:tc>
        <w:tc>
          <w:tcPr>
            <w:tcW w:w="863" w:type="pct"/>
            <w:vAlign w:val="center"/>
          </w:tcPr>
          <w:p w14:paraId="6992397B">
            <w:pPr>
              <w:keepNext w:val="0"/>
              <w:keepLines w:val="0"/>
              <w:pageBreakBefore w:val="0"/>
              <w:widowControl/>
              <w:kinsoku/>
              <w:wordWrap/>
              <w:overflowPunct/>
              <w:topLinePunct w:val="0"/>
              <w:autoSpaceDE/>
              <w:autoSpaceDN/>
              <w:bidi w:val="0"/>
              <w:adjustRightInd w:val="0"/>
              <w:snapToGrid w:val="0"/>
              <w:spacing w:line="500" w:lineRule="atLeast"/>
              <w:jc w:val="center"/>
              <w:textAlignment w:val="auto"/>
              <w:rPr>
                <w:rFonts w:ascii="Times New Roman" w:hAnsi="Times New Roman" w:cs="Times New Roman"/>
                <w:color w:val="000000"/>
                <w:sz w:val="24"/>
                <w:szCs w:val="24"/>
                <w:lang w:eastAsia="zh-CN"/>
              </w:rPr>
            </w:pPr>
            <w:r>
              <w:rPr>
                <w:rFonts w:hint="eastAsia" w:ascii="Times New Roman" w:hAnsi="Times New Roman" w:cs="Times New Roman"/>
                <w:sz w:val="24"/>
                <w:szCs w:val="24"/>
                <w:lang w:eastAsia="zh-CN"/>
              </w:rPr>
              <w:t>北陡镇</w:t>
            </w:r>
          </w:p>
        </w:tc>
        <w:tc>
          <w:tcPr>
            <w:tcW w:w="1860" w:type="pct"/>
            <w:noWrap/>
            <w:vAlign w:val="center"/>
          </w:tcPr>
          <w:p w14:paraId="033B0D92">
            <w:pPr>
              <w:keepNext w:val="0"/>
              <w:keepLines w:val="0"/>
              <w:pageBreakBefore w:val="0"/>
              <w:widowControl/>
              <w:kinsoku/>
              <w:wordWrap/>
              <w:overflowPunct/>
              <w:topLinePunct w:val="0"/>
              <w:autoSpaceDE/>
              <w:autoSpaceDN/>
              <w:bidi w:val="0"/>
              <w:adjustRightInd w:val="0"/>
              <w:snapToGrid w:val="0"/>
              <w:spacing w:line="500" w:lineRule="atLeast"/>
              <w:jc w:val="center"/>
              <w:textAlignment w:val="auto"/>
              <w:rPr>
                <w:rFonts w:ascii="Times New Roman" w:hAnsi="Times New Roman" w:cs="Times New Roman"/>
                <w:color w:val="000000"/>
                <w:sz w:val="24"/>
                <w:szCs w:val="24"/>
                <w:lang w:eastAsia="zh-CN"/>
              </w:rPr>
            </w:pPr>
            <w:r>
              <w:rPr>
                <w:rFonts w:ascii="Times New Roman" w:hAnsi="Times New Roman" w:cs="Times New Roman"/>
                <w:sz w:val="24"/>
                <w:szCs w:val="24"/>
              </w:rPr>
              <w:t>0.63</w:t>
            </w:r>
            <w:r>
              <w:rPr>
                <w:rFonts w:hint="eastAsia" w:ascii="Times New Roman" w:hAnsi="Times New Roman" w:cs="Times New Roman"/>
                <w:sz w:val="24"/>
                <w:szCs w:val="24"/>
                <w:lang w:eastAsia="zh-CN"/>
              </w:rPr>
              <w:t>58</w:t>
            </w:r>
          </w:p>
        </w:tc>
      </w:tr>
      <w:tr w14:paraId="392A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8" w:type="pct"/>
            <w:noWrap/>
            <w:vAlign w:val="center"/>
          </w:tcPr>
          <w:p w14:paraId="0FA2A118">
            <w:pPr>
              <w:keepNext w:val="0"/>
              <w:keepLines w:val="0"/>
              <w:pageBreakBefore w:val="0"/>
              <w:widowControl/>
              <w:kinsoku/>
              <w:wordWrap/>
              <w:overflowPunct/>
              <w:topLinePunct w:val="0"/>
              <w:autoSpaceDE/>
              <w:autoSpaceDN/>
              <w:bidi w:val="0"/>
              <w:adjustRightInd w:val="0"/>
              <w:snapToGrid w:val="0"/>
              <w:spacing w:line="500" w:lineRule="atLeast"/>
              <w:jc w:val="center"/>
              <w:textAlignment w:val="auto"/>
              <w:rPr>
                <w:rFonts w:ascii="Times New Roman" w:hAnsi="Times New Roman" w:cs="Times New Roman"/>
                <w:color w:val="000000"/>
                <w:sz w:val="24"/>
                <w:szCs w:val="24"/>
                <w:lang w:eastAsia="zh-CN"/>
              </w:rPr>
            </w:pPr>
            <w:r>
              <w:rPr>
                <w:rFonts w:hint="eastAsia" w:ascii="Times New Roman" w:hAnsi="Times New Roman" w:cs="Times New Roman"/>
                <w:color w:val="000000"/>
                <w:sz w:val="24"/>
                <w:szCs w:val="24"/>
                <w:lang w:eastAsia="zh-CN"/>
              </w:rPr>
              <w:t>2</w:t>
            </w:r>
          </w:p>
        </w:tc>
        <w:tc>
          <w:tcPr>
            <w:tcW w:w="1729" w:type="pct"/>
            <w:vAlign w:val="center"/>
          </w:tcPr>
          <w:p w14:paraId="6D0ABE7A">
            <w:pPr>
              <w:keepNext w:val="0"/>
              <w:keepLines w:val="0"/>
              <w:pageBreakBefore w:val="0"/>
              <w:widowControl/>
              <w:kinsoku/>
              <w:wordWrap/>
              <w:overflowPunct/>
              <w:topLinePunct w:val="0"/>
              <w:autoSpaceDE/>
              <w:autoSpaceDN/>
              <w:bidi w:val="0"/>
              <w:adjustRightInd w:val="0"/>
              <w:snapToGrid w:val="0"/>
              <w:spacing w:line="500" w:lineRule="atLeast"/>
              <w:jc w:val="center"/>
              <w:textAlignment w:val="auto"/>
              <w:rPr>
                <w:rFonts w:ascii="Times New Roman" w:hAnsi="Times New Roman" w:cs="Times New Roman"/>
                <w:sz w:val="24"/>
                <w:szCs w:val="24"/>
                <w:lang w:eastAsia="zh-CN"/>
              </w:rPr>
            </w:pPr>
            <w:r>
              <w:rPr>
                <w:rFonts w:hint="eastAsia"/>
                <w:color w:val="000000"/>
                <w:sz w:val="24"/>
                <w:szCs w:val="24"/>
                <w:lang w:eastAsia="zh-CN"/>
              </w:rPr>
              <w:t>赤溪镇磅礴村工业片区</w:t>
            </w:r>
          </w:p>
        </w:tc>
        <w:tc>
          <w:tcPr>
            <w:tcW w:w="863" w:type="pct"/>
            <w:vAlign w:val="center"/>
          </w:tcPr>
          <w:p w14:paraId="503A4754">
            <w:pPr>
              <w:keepNext w:val="0"/>
              <w:keepLines w:val="0"/>
              <w:pageBreakBefore w:val="0"/>
              <w:widowControl/>
              <w:kinsoku/>
              <w:wordWrap/>
              <w:overflowPunct/>
              <w:topLinePunct w:val="0"/>
              <w:autoSpaceDE/>
              <w:autoSpaceDN/>
              <w:bidi w:val="0"/>
              <w:adjustRightInd w:val="0"/>
              <w:snapToGrid w:val="0"/>
              <w:spacing w:line="500" w:lineRule="atLeast"/>
              <w:jc w:val="center"/>
              <w:textAlignment w:val="auto"/>
              <w:rPr>
                <w:rFonts w:ascii="Times New Roman" w:hAnsi="Times New Roman" w:cs="Times New Roman"/>
                <w:sz w:val="24"/>
                <w:szCs w:val="24"/>
                <w:lang w:eastAsia="zh-CN"/>
              </w:rPr>
            </w:pPr>
            <w:r>
              <w:rPr>
                <w:rFonts w:hint="eastAsia" w:ascii="Times New Roman" w:hAnsi="Times New Roman" w:cs="Times New Roman"/>
                <w:sz w:val="24"/>
                <w:szCs w:val="24"/>
                <w:lang w:eastAsia="zh-CN"/>
              </w:rPr>
              <w:t>赤溪镇</w:t>
            </w:r>
          </w:p>
        </w:tc>
        <w:tc>
          <w:tcPr>
            <w:tcW w:w="1860" w:type="pct"/>
            <w:noWrap/>
            <w:vAlign w:val="center"/>
          </w:tcPr>
          <w:p w14:paraId="66CF48D7">
            <w:pPr>
              <w:keepNext w:val="0"/>
              <w:keepLines w:val="0"/>
              <w:pageBreakBefore w:val="0"/>
              <w:widowControl/>
              <w:kinsoku/>
              <w:wordWrap/>
              <w:overflowPunct/>
              <w:topLinePunct w:val="0"/>
              <w:autoSpaceDE/>
              <w:autoSpaceDN/>
              <w:bidi w:val="0"/>
              <w:adjustRightInd w:val="0"/>
              <w:snapToGrid w:val="0"/>
              <w:spacing w:line="500" w:lineRule="atLeast"/>
              <w:jc w:val="center"/>
              <w:textAlignment w:val="auto"/>
              <w:rPr>
                <w:rFonts w:ascii="Times New Roman" w:hAnsi="Times New Roman" w:cs="Times New Roman"/>
                <w:sz w:val="24"/>
                <w:szCs w:val="24"/>
                <w:lang w:eastAsia="zh-CN"/>
              </w:rPr>
            </w:pPr>
            <w:r>
              <w:rPr>
                <w:rFonts w:ascii="Times New Roman" w:hAnsi="Times New Roman" w:cs="Times New Roman"/>
                <w:sz w:val="24"/>
                <w:szCs w:val="24"/>
              </w:rPr>
              <w:t xml:space="preserve">19.6149 </w:t>
            </w:r>
          </w:p>
        </w:tc>
      </w:tr>
      <w:tr w14:paraId="33153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40" w:type="pct"/>
            <w:gridSpan w:val="3"/>
            <w:noWrap/>
            <w:vAlign w:val="center"/>
          </w:tcPr>
          <w:p w14:paraId="58057477">
            <w:pPr>
              <w:keepNext w:val="0"/>
              <w:keepLines w:val="0"/>
              <w:pageBreakBefore w:val="0"/>
              <w:widowControl/>
              <w:kinsoku/>
              <w:wordWrap/>
              <w:overflowPunct/>
              <w:topLinePunct w:val="0"/>
              <w:autoSpaceDE/>
              <w:autoSpaceDN/>
              <w:bidi w:val="0"/>
              <w:adjustRightInd w:val="0"/>
              <w:snapToGrid w:val="0"/>
              <w:spacing w:line="500" w:lineRule="atLeast"/>
              <w:jc w:val="center"/>
              <w:textAlignment w:val="auto"/>
              <w:rPr>
                <w:rFonts w:ascii="Times New Roman" w:hAnsi="Times New Roman" w:cs="Times New Roman"/>
                <w:sz w:val="24"/>
                <w:szCs w:val="24"/>
                <w:lang w:eastAsia="zh-CN"/>
              </w:rPr>
            </w:pPr>
            <w:r>
              <w:rPr>
                <w:rFonts w:hint="eastAsia" w:ascii="Times New Roman" w:hAnsi="Times New Roman" w:cs="Times New Roman"/>
                <w:sz w:val="24"/>
                <w:szCs w:val="24"/>
                <w:lang w:eastAsia="zh-CN"/>
              </w:rPr>
              <w:t>合计</w:t>
            </w:r>
          </w:p>
        </w:tc>
        <w:tc>
          <w:tcPr>
            <w:tcW w:w="1860" w:type="pct"/>
            <w:noWrap/>
            <w:vAlign w:val="center"/>
          </w:tcPr>
          <w:p w14:paraId="6451D996">
            <w:pPr>
              <w:keepNext w:val="0"/>
              <w:keepLines w:val="0"/>
              <w:pageBreakBefore w:val="0"/>
              <w:widowControl/>
              <w:kinsoku/>
              <w:wordWrap/>
              <w:overflowPunct/>
              <w:topLinePunct w:val="0"/>
              <w:autoSpaceDE/>
              <w:autoSpaceDN/>
              <w:bidi w:val="0"/>
              <w:adjustRightInd w:val="0"/>
              <w:snapToGrid w:val="0"/>
              <w:spacing w:line="500" w:lineRule="atLeast"/>
              <w:jc w:val="center"/>
              <w:textAlignment w:val="auto"/>
              <w:rPr>
                <w:rFonts w:ascii="Times New Roman" w:hAnsi="Times New Roman" w:cs="Times New Roman"/>
                <w:sz w:val="24"/>
                <w:szCs w:val="24"/>
                <w:lang w:eastAsia="zh-CN"/>
              </w:rPr>
            </w:pPr>
            <w:r>
              <w:rPr>
                <w:rFonts w:hint="eastAsia" w:ascii="Times New Roman" w:hAnsi="Times New Roman" w:cs="Times New Roman"/>
                <w:sz w:val="24"/>
                <w:szCs w:val="24"/>
                <w:lang w:eastAsia="zh-CN"/>
              </w:rPr>
              <w:t>20.2507</w:t>
            </w:r>
          </w:p>
        </w:tc>
      </w:tr>
    </w:tbl>
    <w:p w14:paraId="054B31FC">
      <w:pPr>
        <w:pStyle w:val="4"/>
        <w:keepNext w:val="0"/>
        <w:keepLines w:val="0"/>
        <w:pageBreakBefore w:val="0"/>
        <w:kinsoku/>
        <w:wordWrap/>
        <w:overflowPunct/>
        <w:topLinePunct w:val="0"/>
        <w:bidi w:val="0"/>
        <w:spacing w:before="86" w:line="500" w:lineRule="atLeast"/>
        <w:ind w:firstLine="560" w:firstLineChars="200"/>
        <w:jc w:val="both"/>
        <w:textAlignment w:val="auto"/>
        <w:rPr>
          <w:rFonts w:ascii="Times New Roman" w:hAnsi="Times New Roman" w:cs="Times New Roman"/>
          <w:lang w:eastAsia="zh-CN"/>
        </w:rPr>
      </w:pPr>
      <w:r>
        <w:rPr>
          <w:rFonts w:ascii="Times New Roman" w:hAnsi="Times New Roman" w:cs="Times New Roman"/>
          <w:lang w:eastAsia="zh-CN"/>
        </w:rPr>
        <w:t>（二）开发范围</w:t>
      </w:r>
    </w:p>
    <w:p w14:paraId="67388DD4">
      <w:pPr>
        <w:pStyle w:val="4"/>
        <w:keepNext w:val="0"/>
        <w:keepLines w:val="0"/>
        <w:pageBreakBefore w:val="0"/>
        <w:kinsoku/>
        <w:wordWrap/>
        <w:overflowPunct/>
        <w:topLinePunct w:val="0"/>
        <w:bidi w:val="0"/>
        <w:spacing w:line="500" w:lineRule="atLeast"/>
        <w:ind w:firstLine="560" w:firstLineChars="200"/>
        <w:jc w:val="both"/>
        <w:textAlignment w:val="auto"/>
        <w:rPr>
          <w:rFonts w:ascii="Times New Roman" w:hAnsi="Times New Roman" w:cs="Times New Roman"/>
          <w:w w:val="99"/>
          <w:lang w:eastAsia="zh-CN"/>
        </w:rPr>
      </w:pPr>
      <w:r>
        <w:rPr>
          <w:rFonts w:ascii="Times New Roman" w:hAnsi="Times New Roman" w:cs="Times New Roman"/>
          <w:lang w:eastAsia="zh-CN"/>
        </w:rPr>
        <w:t>本次土地征收成片开发</w:t>
      </w:r>
      <w:r>
        <w:rPr>
          <w:rFonts w:hint="eastAsia" w:ascii="Times New Roman" w:hAnsi="Times New Roman" w:cs="Times New Roman"/>
          <w:lang w:eastAsia="zh-CN"/>
        </w:rPr>
        <w:t>范围总</w:t>
      </w:r>
      <w:r>
        <w:rPr>
          <w:rFonts w:ascii="Times New Roman" w:hAnsi="Times New Roman" w:cs="Times New Roman"/>
          <w:lang w:eastAsia="zh-CN"/>
        </w:rPr>
        <w:t>面</w:t>
      </w:r>
      <w:r>
        <w:rPr>
          <w:rFonts w:hint="eastAsia" w:ascii="Times New Roman" w:hAnsi="Times New Roman" w:cs="Times New Roman"/>
          <w:lang w:eastAsia="zh-CN"/>
        </w:rPr>
        <w:t>20.2507</w:t>
      </w:r>
      <w:r>
        <w:rPr>
          <w:rFonts w:ascii="Times New Roman" w:hAnsi="Times New Roman" w:cs="Times New Roman"/>
          <w:lang w:eastAsia="zh-CN"/>
        </w:rPr>
        <w:t>公顷，</w:t>
      </w:r>
      <w:r>
        <w:rPr>
          <w:rFonts w:hint="eastAsia" w:ascii="Times New Roman" w:hAnsi="Times New Roman" w:cs="Times New Roman"/>
          <w:lang w:eastAsia="zh-CN"/>
        </w:rPr>
        <w:t>其中农用地面积13.8867公顷（其中耕地0.0010公顷）、建设用地面积6.0832公顷、未利用用地面积0.2808公顷。</w:t>
      </w:r>
      <w:r>
        <w:rPr>
          <w:rFonts w:ascii="Times New Roman" w:hAnsi="Times New Roman" w:cs="Times New Roman"/>
          <w:lang w:eastAsia="zh-CN"/>
        </w:rPr>
        <w:t>拟征收集体土地</w:t>
      </w:r>
      <w:r>
        <w:rPr>
          <w:rFonts w:hint="eastAsia" w:ascii="Times New Roman" w:hAnsi="Times New Roman" w:cs="Times New Roman"/>
          <w:lang w:eastAsia="zh-CN"/>
        </w:rPr>
        <w:t>16.1364</w:t>
      </w:r>
      <w:r>
        <w:rPr>
          <w:rFonts w:ascii="Times New Roman" w:hAnsi="Times New Roman" w:cs="Times New Roman"/>
          <w:lang w:eastAsia="zh-CN"/>
        </w:rPr>
        <w:t>公顷</w:t>
      </w:r>
      <w:r>
        <w:rPr>
          <w:rFonts w:ascii="Times New Roman" w:hAnsi="Times New Roman" w:cs="Times New Roman"/>
          <w:w w:val="99"/>
          <w:lang w:eastAsia="zh-CN"/>
        </w:rPr>
        <w:t>。</w:t>
      </w:r>
    </w:p>
    <w:p w14:paraId="36123708">
      <w:pPr>
        <w:pStyle w:val="2"/>
        <w:keepNext w:val="0"/>
        <w:keepLines w:val="0"/>
        <w:pageBreakBefore w:val="0"/>
        <w:kinsoku/>
        <w:wordWrap/>
        <w:overflowPunct/>
        <w:topLinePunct w:val="0"/>
        <w:bidi w:val="0"/>
        <w:spacing w:before="12" w:line="500" w:lineRule="atLeast"/>
        <w:ind w:left="0"/>
        <w:textAlignment w:val="auto"/>
        <w:rPr>
          <w:rFonts w:hint="eastAsia" w:ascii="黑体" w:hAnsi="黑体" w:eastAsia="黑体"/>
          <w:lang w:eastAsia="zh-CN"/>
        </w:rPr>
      </w:pPr>
      <w:r>
        <w:rPr>
          <w:rFonts w:ascii="黑体" w:hAnsi="黑体" w:eastAsia="黑体"/>
          <w:lang w:eastAsia="zh-CN"/>
        </w:rPr>
        <w:t>三、成片开发条件分析</w:t>
      </w:r>
    </w:p>
    <w:p w14:paraId="73D5FBFB">
      <w:pPr>
        <w:pStyle w:val="4"/>
        <w:keepNext w:val="0"/>
        <w:keepLines w:val="0"/>
        <w:pageBreakBefore w:val="0"/>
        <w:kinsoku/>
        <w:wordWrap/>
        <w:overflowPunct/>
        <w:topLinePunct w:val="0"/>
        <w:bidi w:val="0"/>
        <w:spacing w:before="86" w:line="500" w:lineRule="atLeast"/>
        <w:ind w:firstLine="560" w:firstLineChars="200"/>
        <w:jc w:val="both"/>
        <w:textAlignment w:val="auto"/>
        <w:rPr>
          <w:rFonts w:ascii="Times New Roman" w:hAnsi="Times New Roman" w:cs="Times New Roman"/>
          <w:lang w:eastAsia="zh-CN"/>
        </w:rPr>
      </w:pPr>
      <w:r>
        <w:rPr>
          <w:rFonts w:ascii="Times New Roman" w:hAnsi="Times New Roman" w:cs="Times New Roman"/>
          <w:lang w:eastAsia="zh-CN"/>
        </w:rPr>
        <w:t>（一）必要性分析</w:t>
      </w:r>
    </w:p>
    <w:p w14:paraId="551F0948">
      <w:pPr>
        <w:keepNext w:val="0"/>
        <w:keepLines w:val="0"/>
        <w:pageBreakBefore w:val="0"/>
        <w:kinsoku/>
        <w:wordWrap/>
        <w:overflowPunct/>
        <w:topLinePunct w:val="0"/>
        <w:bidi w:val="0"/>
        <w:spacing w:line="500" w:lineRule="atLeast"/>
        <w:ind w:firstLine="560" w:firstLineChars="200"/>
        <w:jc w:val="both"/>
        <w:textAlignment w:val="auto"/>
        <w:rPr>
          <w:rFonts w:ascii="Times New Roman" w:hAnsi="Times New Roman" w:cs="Times New Roman"/>
          <w:sz w:val="28"/>
          <w:szCs w:val="28"/>
          <w:lang w:eastAsia="zh-CN" w:bidi="zh-CN"/>
        </w:rPr>
      </w:pPr>
      <w:r>
        <w:rPr>
          <w:rFonts w:ascii="Times New Roman" w:hAnsi="Times New Roman" w:cs="Times New Roman"/>
          <w:sz w:val="28"/>
          <w:szCs w:val="28"/>
          <w:lang w:eastAsia="zh-CN" w:bidi="zh-CN"/>
        </w:rPr>
        <w:t>本次土地征收成片开发</w:t>
      </w:r>
      <w:r>
        <w:rPr>
          <w:rFonts w:hint="eastAsia" w:ascii="Times New Roman" w:hAnsi="Times New Roman" w:cs="Times New Roman"/>
          <w:sz w:val="28"/>
          <w:szCs w:val="28"/>
          <w:lang w:eastAsia="zh-CN" w:bidi="zh-CN"/>
        </w:rPr>
        <w:t>聚焦北陡镇旅游服务中心和赤溪镇绿色建材装配式项目，均符合城镇开发边界外布局建设项目准入目录。北陡镇旅游服务中心依托北陡三湾（浪琴湾、那琴半岛、海豚湾），利用尾角湾滨海旅游及渔业资源，搭配体验式休闲旅游观光产业，规划建设旅游驿站尾角渔船避风塘配套海产品展销及相关配套设施，以</w:t>
      </w:r>
      <w:bookmarkStart w:id="2" w:name="_Hlk206687108"/>
      <w:r>
        <w:rPr>
          <w:rFonts w:hint="eastAsia" w:ascii="Times New Roman" w:hAnsi="Times New Roman" w:cs="Times New Roman"/>
          <w:sz w:val="28"/>
          <w:szCs w:val="28"/>
          <w:lang w:eastAsia="zh-CN" w:bidi="zh-CN"/>
        </w:rPr>
        <w:t>促进乡村休闲旅游和农文旅融合发展，促进当地村民创业就业</w:t>
      </w:r>
      <w:bookmarkEnd w:id="2"/>
      <w:r>
        <w:rPr>
          <w:rFonts w:hint="eastAsia" w:ascii="Times New Roman" w:hAnsi="Times New Roman" w:cs="Times New Roman"/>
          <w:sz w:val="28"/>
          <w:szCs w:val="28"/>
          <w:lang w:eastAsia="zh-CN" w:bidi="zh-CN"/>
        </w:rPr>
        <w:t>。赤溪镇绿色建材装配式项目通过智能化</w:t>
      </w:r>
      <w:r>
        <w:rPr>
          <w:rFonts w:ascii="Times New Roman" w:hAnsi="Times New Roman" w:cs="Times New Roman"/>
          <w:sz w:val="28"/>
          <w:szCs w:val="28"/>
          <w:lang w:eastAsia="zh-CN" w:bidi="zh-CN"/>
        </w:rPr>
        <w:t>新型建筑材料制造</w:t>
      </w:r>
      <w:r>
        <w:rPr>
          <w:rFonts w:hint="eastAsia" w:ascii="Times New Roman" w:hAnsi="Times New Roman" w:cs="Times New Roman"/>
          <w:sz w:val="28"/>
          <w:szCs w:val="28"/>
          <w:lang w:eastAsia="zh-CN" w:bidi="zh-CN"/>
        </w:rPr>
        <w:t>，探索模块化集成建筑，将建筑拆分为模块化“单元”，工厂内高效完成模块的结构、装修、设备等全流程高精度预制，再运输至现场快速装嵌成完整建筑，这种技术把建筑从工地搬进工厂，大幅缩短工期，减少施工难度，实现了“像造汽车一样造房子”，推动建筑行业的低碳转型。</w:t>
      </w:r>
    </w:p>
    <w:p w14:paraId="2DEAB415">
      <w:pPr>
        <w:pStyle w:val="4"/>
        <w:keepNext w:val="0"/>
        <w:keepLines w:val="0"/>
        <w:pageBreakBefore w:val="0"/>
        <w:kinsoku/>
        <w:wordWrap/>
        <w:overflowPunct/>
        <w:topLinePunct w:val="0"/>
        <w:bidi w:val="0"/>
        <w:spacing w:before="86" w:line="500" w:lineRule="atLeast"/>
        <w:ind w:firstLine="560" w:firstLineChars="200"/>
        <w:jc w:val="both"/>
        <w:textAlignment w:val="auto"/>
        <w:rPr>
          <w:rFonts w:ascii="Times New Roman" w:hAnsi="Times New Roman" w:cs="Times New Roman"/>
          <w:lang w:eastAsia="zh-CN"/>
        </w:rPr>
      </w:pPr>
      <w:r>
        <w:rPr>
          <w:rFonts w:ascii="Times New Roman" w:hAnsi="Times New Roman" w:cs="Times New Roman"/>
          <w:lang w:eastAsia="zh-CN"/>
        </w:rPr>
        <w:t>（二）合规性分析</w:t>
      </w:r>
    </w:p>
    <w:p w14:paraId="08017A8E">
      <w:pPr>
        <w:keepNext w:val="0"/>
        <w:keepLines w:val="0"/>
        <w:pageBreakBefore w:val="0"/>
        <w:kinsoku/>
        <w:wordWrap/>
        <w:overflowPunct/>
        <w:topLinePunct w:val="0"/>
        <w:bidi w:val="0"/>
        <w:adjustRightInd w:val="0"/>
        <w:snapToGrid w:val="0"/>
        <w:spacing w:line="500" w:lineRule="atLeast"/>
        <w:ind w:firstLine="544" w:firstLineChars="200"/>
        <w:jc w:val="both"/>
        <w:textAlignment w:val="auto"/>
        <w:rPr>
          <w:rFonts w:ascii="Times New Roman" w:hAnsi="Times New Roman" w:cs="Times New Roman"/>
          <w:spacing w:val="-4"/>
          <w:sz w:val="28"/>
          <w:szCs w:val="28"/>
          <w:lang w:val="zh-CN" w:eastAsia="zh-CN" w:bidi="zh-CN"/>
        </w:rPr>
      </w:pPr>
      <w:r>
        <w:rPr>
          <w:rFonts w:hint="eastAsia" w:ascii="Times New Roman" w:hAnsi="Times New Roman" w:cs="Times New Roman"/>
          <w:spacing w:val="-4"/>
          <w:sz w:val="28"/>
          <w:szCs w:val="28"/>
          <w:lang w:val="zh-CN" w:eastAsia="zh-CN" w:bidi="zh-CN"/>
        </w:rPr>
        <w:t>1.《方案》成片开发范围不涉及占用永久基本农田和生态保护红线，符合土地征收成片开发相关政策的要求。</w:t>
      </w:r>
    </w:p>
    <w:p w14:paraId="1C3961B7">
      <w:pPr>
        <w:keepNext w:val="0"/>
        <w:keepLines w:val="0"/>
        <w:pageBreakBefore w:val="0"/>
        <w:kinsoku/>
        <w:wordWrap/>
        <w:overflowPunct/>
        <w:topLinePunct w:val="0"/>
        <w:bidi w:val="0"/>
        <w:adjustRightInd w:val="0"/>
        <w:snapToGrid w:val="0"/>
        <w:spacing w:line="500" w:lineRule="atLeast"/>
        <w:ind w:firstLine="544" w:firstLineChars="200"/>
        <w:jc w:val="both"/>
        <w:textAlignment w:val="auto"/>
        <w:rPr>
          <w:rFonts w:ascii="Times New Roman" w:hAnsi="Times New Roman" w:cs="Times New Roman"/>
          <w:spacing w:val="-4"/>
          <w:sz w:val="28"/>
          <w:szCs w:val="28"/>
          <w:lang w:val="zh-CN" w:eastAsia="zh-CN" w:bidi="zh-CN"/>
        </w:rPr>
      </w:pPr>
      <w:r>
        <w:rPr>
          <w:rFonts w:hint="eastAsia" w:ascii="Times New Roman" w:hAnsi="Times New Roman" w:cs="Times New Roman"/>
          <w:spacing w:val="-4"/>
          <w:sz w:val="28"/>
          <w:szCs w:val="28"/>
          <w:lang w:val="zh-CN" w:eastAsia="zh-CN" w:bidi="zh-CN"/>
        </w:rPr>
        <w:t>2.台山市</w:t>
      </w:r>
      <w:r>
        <w:rPr>
          <w:rFonts w:ascii="Times New Roman" w:hAnsi="Times New Roman" w:cs="Times New Roman"/>
          <w:spacing w:val="-4"/>
          <w:sz w:val="28"/>
          <w:szCs w:val="28"/>
          <w:lang w:val="zh-CN" w:eastAsia="zh-CN" w:bidi="zh-CN"/>
        </w:rPr>
        <w:t>近五年平均供地率为</w:t>
      </w:r>
      <w:r>
        <w:rPr>
          <w:rFonts w:hint="eastAsia" w:ascii="Times New Roman" w:hAnsi="Times New Roman" w:cs="Times New Roman"/>
          <w:spacing w:val="-4"/>
          <w:sz w:val="28"/>
          <w:szCs w:val="28"/>
          <w:lang w:val="zh-CN" w:eastAsia="zh-CN" w:bidi="zh-CN"/>
        </w:rPr>
        <w:t>76.43</w:t>
      </w:r>
      <w:r>
        <w:rPr>
          <w:rFonts w:ascii="Times New Roman" w:hAnsi="Times New Roman" w:cs="Times New Roman"/>
          <w:spacing w:val="-4"/>
          <w:sz w:val="28"/>
          <w:szCs w:val="28"/>
          <w:lang w:val="zh-CN" w:eastAsia="zh-CN" w:bidi="zh-CN"/>
        </w:rPr>
        <w:t>%，土地闲置率为0.</w:t>
      </w:r>
      <w:r>
        <w:rPr>
          <w:rFonts w:hint="eastAsia" w:ascii="Times New Roman" w:hAnsi="Times New Roman" w:cs="Times New Roman"/>
          <w:spacing w:val="-4"/>
          <w:sz w:val="28"/>
          <w:szCs w:val="28"/>
          <w:lang w:val="zh-CN" w:eastAsia="zh-CN" w:bidi="zh-CN"/>
        </w:rPr>
        <w:t>83</w:t>
      </w:r>
      <w:r>
        <w:rPr>
          <w:rFonts w:ascii="Times New Roman" w:hAnsi="Times New Roman" w:cs="Times New Roman"/>
          <w:spacing w:val="-4"/>
          <w:sz w:val="28"/>
          <w:szCs w:val="28"/>
          <w:lang w:val="zh-CN" w:eastAsia="zh-CN" w:bidi="zh-CN"/>
        </w:rPr>
        <w:t>%。平均供地率大于60%和土地闲置率小于5%，符合土地征收成片开发相关政策的要求。</w:t>
      </w:r>
    </w:p>
    <w:p w14:paraId="7C2AB796">
      <w:pPr>
        <w:keepNext w:val="0"/>
        <w:keepLines w:val="0"/>
        <w:pageBreakBefore w:val="0"/>
        <w:kinsoku/>
        <w:wordWrap/>
        <w:overflowPunct/>
        <w:topLinePunct w:val="0"/>
        <w:bidi w:val="0"/>
        <w:adjustRightInd w:val="0"/>
        <w:snapToGrid w:val="0"/>
        <w:spacing w:line="500" w:lineRule="atLeast"/>
        <w:ind w:firstLine="544" w:firstLineChars="200"/>
        <w:jc w:val="both"/>
        <w:textAlignment w:val="auto"/>
        <w:rPr>
          <w:rFonts w:ascii="Times New Roman" w:hAnsi="Times New Roman" w:cs="Times New Roman"/>
          <w:spacing w:val="-4"/>
          <w:sz w:val="28"/>
          <w:szCs w:val="28"/>
          <w:lang w:val="zh-CN" w:eastAsia="zh-CN" w:bidi="zh-CN"/>
        </w:rPr>
      </w:pPr>
      <w:r>
        <w:rPr>
          <w:rFonts w:hint="eastAsia" w:ascii="Times New Roman" w:hAnsi="Times New Roman" w:cs="Times New Roman"/>
          <w:spacing w:val="-4"/>
          <w:sz w:val="28"/>
          <w:szCs w:val="28"/>
          <w:lang w:val="zh-CN" w:eastAsia="zh-CN" w:bidi="zh-CN"/>
        </w:rPr>
        <w:t>3.广东台山广海湾工业园区和台山产业转移工业园是经国家发改委批准的省级开发区。广东台山广海湾工业园区近五年平均供地率46.69</w:t>
      </w:r>
      <w:r>
        <w:rPr>
          <w:rFonts w:ascii="Times New Roman" w:hAnsi="Times New Roman" w:cs="Times New Roman"/>
          <w:spacing w:val="-4"/>
          <w:sz w:val="28"/>
          <w:szCs w:val="28"/>
          <w:lang w:val="zh-CN" w:eastAsia="zh-CN" w:bidi="zh-CN"/>
        </w:rPr>
        <w:t>%，土地闲置率为</w:t>
      </w:r>
      <w:r>
        <w:rPr>
          <w:rFonts w:hint="eastAsia" w:ascii="Times New Roman" w:hAnsi="Times New Roman" w:cs="Times New Roman"/>
          <w:spacing w:val="-4"/>
          <w:sz w:val="28"/>
          <w:szCs w:val="28"/>
          <w:lang w:val="zh-CN" w:eastAsia="zh-CN" w:bidi="zh-CN"/>
        </w:rPr>
        <w:t>0%</w:t>
      </w:r>
      <w:r>
        <w:rPr>
          <w:rFonts w:ascii="Times New Roman" w:hAnsi="Times New Roman" w:cs="Times New Roman"/>
          <w:spacing w:val="-4"/>
          <w:sz w:val="28"/>
          <w:szCs w:val="28"/>
          <w:lang w:val="zh-CN" w:eastAsia="zh-CN" w:bidi="zh-CN"/>
        </w:rPr>
        <w:t>，综合容积率为1</w:t>
      </w:r>
      <w:r>
        <w:rPr>
          <w:rFonts w:hint="eastAsia" w:ascii="Times New Roman" w:hAnsi="Times New Roman" w:cs="Times New Roman"/>
          <w:spacing w:val="-4"/>
          <w:sz w:val="28"/>
          <w:szCs w:val="28"/>
          <w:lang w:val="zh-CN" w:eastAsia="zh-CN" w:bidi="zh-CN"/>
        </w:rPr>
        <w:t>.12；台山产业转移工业园近五年平均供地率25.34</w:t>
      </w:r>
      <w:r>
        <w:rPr>
          <w:rFonts w:ascii="Times New Roman" w:hAnsi="Times New Roman" w:cs="Times New Roman"/>
          <w:spacing w:val="-4"/>
          <w:sz w:val="28"/>
          <w:szCs w:val="28"/>
          <w:lang w:val="zh-CN" w:eastAsia="zh-CN" w:bidi="zh-CN"/>
        </w:rPr>
        <w:t>%，土地闲置率为0</w:t>
      </w:r>
      <w:r>
        <w:rPr>
          <w:rFonts w:hint="eastAsia" w:ascii="Times New Roman" w:hAnsi="Times New Roman" w:cs="Times New Roman"/>
          <w:spacing w:val="-4"/>
          <w:sz w:val="28"/>
          <w:szCs w:val="28"/>
          <w:lang w:val="zh-CN" w:eastAsia="zh-CN" w:bidi="zh-CN"/>
        </w:rPr>
        <w:t>%</w:t>
      </w:r>
      <w:r>
        <w:rPr>
          <w:rFonts w:ascii="Times New Roman" w:hAnsi="Times New Roman" w:cs="Times New Roman"/>
          <w:spacing w:val="-4"/>
          <w:sz w:val="28"/>
          <w:szCs w:val="28"/>
          <w:lang w:val="zh-CN" w:eastAsia="zh-CN" w:bidi="zh-CN"/>
        </w:rPr>
        <w:t>，综合容积率为1.</w:t>
      </w:r>
      <w:r>
        <w:rPr>
          <w:rFonts w:hint="eastAsia" w:ascii="Times New Roman" w:hAnsi="Times New Roman" w:cs="Times New Roman"/>
          <w:spacing w:val="-4"/>
          <w:sz w:val="28"/>
          <w:szCs w:val="28"/>
          <w:lang w:val="zh-CN" w:eastAsia="zh-CN" w:bidi="zh-CN"/>
        </w:rPr>
        <w:t>04。仅存在平均供地率小于60%的一种情形，不存在本条所述情形中的两种及以上的情形，符合土地征收成片开发相关政策的要求。</w:t>
      </w:r>
    </w:p>
    <w:p w14:paraId="1F8DDC0D">
      <w:pPr>
        <w:keepNext w:val="0"/>
        <w:keepLines w:val="0"/>
        <w:pageBreakBefore w:val="0"/>
        <w:kinsoku/>
        <w:wordWrap/>
        <w:overflowPunct/>
        <w:topLinePunct w:val="0"/>
        <w:bidi w:val="0"/>
        <w:adjustRightInd w:val="0"/>
        <w:snapToGrid w:val="0"/>
        <w:spacing w:line="500" w:lineRule="atLeast"/>
        <w:ind w:firstLine="544" w:firstLineChars="200"/>
        <w:jc w:val="both"/>
        <w:textAlignment w:val="auto"/>
        <w:rPr>
          <w:rFonts w:ascii="Times New Roman" w:hAnsi="Times New Roman" w:cs="Times New Roman"/>
          <w:sz w:val="28"/>
          <w:szCs w:val="28"/>
          <w:lang w:eastAsia="zh-CN" w:bidi="zh-CN"/>
        </w:rPr>
      </w:pPr>
      <w:r>
        <w:rPr>
          <w:rFonts w:hint="eastAsia" w:ascii="Times New Roman" w:hAnsi="Times New Roman" w:cs="Times New Roman"/>
          <w:spacing w:val="-4"/>
          <w:sz w:val="28"/>
          <w:szCs w:val="28"/>
          <w:lang w:val="zh-CN" w:eastAsia="zh-CN" w:bidi="zh-CN"/>
        </w:rPr>
        <w:t>4.成片开发范围总面积为20.2507</w:t>
      </w:r>
      <w:r>
        <w:rPr>
          <w:rFonts w:ascii="Times New Roman" w:hAnsi="Times New Roman" w:cs="Times New Roman"/>
          <w:spacing w:val="-4"/>
          <w:sz w:val="28"/>
          <w:szCs w:val="28"/>
          <w:lang w:val="zh-CN" w:eastAsia="zh-CN" w:bidi="zh-CN"/>
        </w:rPr>
        <w:t>公顷，其中公益性用地</w:t>
      </w:r>
      <w:r>
        <w:rPr>
          <w:rFonts w:hint="eastAsia" w:ascii="Times New Roman" w:hAnsi="Times New Roman" w:cs="Times New Roman"/>
          <w:spacing w:val="-4"/>
          <w:sz w:val="28"/>
          <w:szCs w:val="28"/>
          <w:lang w:val="zh-CN" w:eastAsia="zh-CN" w:bidi="zh-CN"/>
        </w:rPr>
        <w:t>4.1144</w:t>
      </w:r>
      <w:r>
        <w:rPr>
          <w:rFonts w:ascii="Times New Roman" w:hAnsi="Times New Roman" w:cs="Times New Roman"/>
          <w:spacing w:val="-4"/>
          <w:sz w:val="28"/>
          <w:szCs w:val="28"/>
          <w:lang w:val="zh-CN" w:eastAsia="zh-CN" w:bidi="zh-CN"/>
        </w:rPr>
        <w:t>公顷，占成片开发范围总面积比例</w:t>
      </w:r>
      <w:r>
        <w:rPr>
          <w:rFonts w:hint="eastAsia" w:ascii="Times New Roman" w:hAnsi="Times New Roman" w:cs="Times New Roman"/>
          <w:spacing w:val="-4"/>
          <w:sz w:val="28"/>
          <w:szCs w:val="28"/>
          <w:lang w:val="zh-CN" w:eastAsia="zh-CN" w:bidi="zh-CN"/>
        </w:rPr>
        <w:t>20.32</w:t>
      </w:r>
      <w:r>
        <w:rPr>
          <w:rFonts w:ascii="Times New Roman" w:hAnsi="Times New Roman" w:cs="Times New Roman"/>
          <w:spacing w:val="-4"/>
          <w:sz w:val="28"/>
          <w:szCs w:val="28"/>
          <w:lang w:val="zh-CN" w:eastAsia="zh-CN" w:bidi="zh-CN"/>
        </w:rPr>
        <w:t>%，符合</w:t>
      </w:r>
      <w:r>
        <w:rPr>
          <w:rFonts w:hint="eastAsia" w:ascii="Times New Roman" w:hAnsi="Times New Roman" w:cs="Times New Roman"/>
          <w:spacing w:val="-4"/>
          <w:sz w:val="28"/>
          <w:szCs w:val="28"/>
          <w:lang w:val="zh-CN" w:eastAsia="zh-CN" w:bidi="zh-CN"/>
        </w:rPr>
        <w:t>城镇开发边界外公益性用地比例不低于20%的要求</w:t>
      </w:r>
      <w:r>
        <w:rPr>
          <w:rFonts w:ascii="Times New Roman" w:hAnsi="Times New Roman" w:cs="Times New Roman"/>
          <w:spacing w:val="-4"/>
          <w:sz w:val="28"/>
          <w:szCs w:val="28"/>
          <w:lang w:val="zh-CN" w:eastAsia="zh-CN" w:bidi="zh-CN"/>
        </w:rPr>
        <w:t>。</w:t>
      </w:r>
      <w:r>
        <w:rPr>
          <w:rFonts w:hint="eastAsia" w:ascii="Times New Roman" w:hAnsi="Times New Roman" w:cs="Times New Roman"/>
          <w:spacing w:val="-4"/>
          <w:sz w:val="28"/>
          <w:szCs w:val="28"/>
          <w:lang w:val="zh-CN" w:eastAsia="zh-CN" w:bidi="zh-CN"/>
        </w:rPr>
        <w:t>拟征收用地面积16.1364</w:t>
      </w:r>
      <w:r>
        <w:rPr>
          <w:rFonts w:ascii="Times New Roman" w:hAnsi="Times New Roman" w:cs="Times New Roman"/>
          <w:spacing w:val="-4"/>
          <w:sz w:val="28"/>
          <w:szCs w:val="28"/>
          <w:lang w:val="zh-CN" w:eastAsia="zh-CN" w:bidi="zh-CN"/>
        </w:rPr>
        <w:t>公顷</w:t>
      </w:r>
      <w:r>
        <w:rPr>
          <w:rFonts w:hint="eastAsia" w:ascii="Times New Roman" w:hAnsi="Times New Roman" w:cs="Times New Roman"/>
          <w:spacing w:val="-4"/>
          <w:sz w:val="28"/>
          <w:szCs w:val="28"/>
          <w:lang w:val="zh-CN" w:eastAsia="zh-CN" w:bidi="zh-CN"/>
        </w:rPr>
        <w:t>，占成片开发范围总面积比例79.68%。</w:t>
      </w:r>
    </w:p>
    <w:p w14:paraId="7E70DB9A">
      <w:pPr>
        <w:keepNext w:val="0"/>
        <w:keepLines w:val="0"/>
        <w:pageBreakBefore w:val="0"/>
        <w:kinsoku/>
        <w:wordWrap/>
        <w:overflowPunct/>
        <w:topLinePunct w:val="0"/>
        <w:bidi w:val="0"/>
        <w:adjustRightInd w:val="0"/>
        <w:snapToGrid w:val="0"/>
        <w:spacing w:line="500" w:lineRule="atLeast"/>
        <w:ind w:firstLine="560" w:firstLineChars="200"/>
        <w:jc w:val="both"/>
        <w:textAlignment w:val="auto"/>
        <w:rPr>
          <w:rFonts w:ascii="Times New Roman" w:hAnsi="Times New Roman" w:cs="Times New Roman"/>
          <w:sz w:val="28"/>
          <w:szCs w:val="28"/>
          <w:lang w:eastAsia="zh-CN" w:bidi="zh-CN"/>
        </w:rPr>
      </w:pPr>
      <w:r>
        <w:rPr>
          <w:rFonts w:ascii="Times New Roman" w:hAnsi="Times New Roman" w:cs="Times New Roman"/>
          <w:sz w:val="28"/>
          <w:szCs w:val="28"/>
          <w:lang w:eastAsia="zh-CN" w:bidi="zh-CN"/>
        </w:rPr>
        <w:t>本次土地征收成片开发方案符合国民经济和社会发展规划、</w:t>
      </w:r>
      <w:r>
        <w:rPr>
          <w:rFonts w:hint="eastAsia" w:ascii="Times New Roman" w:hAnsi="Times New Roman" w:cs="Times New Roman"/>
          <w:sz w:val="28"/>
          <w:szCs w:val="28"/>
          <w:lang w:eastAsia="zh-CN" w:bidi="zh-CN"/>
        </w:rPr>
        <w:t>国土空间总体规划</w:t>
      </w:r>
      <w:r>
        <w:rPr>
          <w:rFonts w:ascii="Times New Roman" w:hAnsi="Times New Roman" w:cs="Times New Roman"/>
          <w:sz w:val="28"/>
          <w:szCs w:val="28"/>
          <w:lang w:eastAsia="zh-CN" w:bidi="zh-CN"/>
        </w:rPr>
        <w:t>和专项规划，做到了保护耕地、节约集约用地、保护生态环境，能够促进经济社会可持续发展。</w:t>
      </w:r>
    </w:p>
    <w:p w14:paraId="15DF169D">
      <w:pPr>
        <w:pStyle w:val="2"/>
        <w:keepNext w:val="0"/>
        <w:keepLines w:val="0"/>
        <w:pageBreakBefore w:val="0"/>
        <w:kinsoku/>
        <w:wordWrap/>
        <w:overflowPunct/>
        <w:topLinePunct w:val="0"/>
        <w:bidi w:val="0"/>
        <w:spacing w:before="12" w:line="500" w:lineRule="atLeast"/>
        <w:ind w:left="0"/>
        <w:textAlignment w:val="auto"/>
        <w:rPr>
          <w:rFonts w:hint="eastAsia" w:ascii="黑体" w:hAnsi="黑体" w:eastAsia="黑体"/>
          <w:lang w:eastAsia="zh-CN"/>
        </w:rPr>
      </w:pPr>
      <w:r>
        <w:rPr>
          <w:rFonts w:ascii="黑体" w:hAnsi="黑体" w:eastAsia="黑体"/>
          <w:lang w:eastAsia="zh-CN"/>
        </w:rPr>
        <w:t>四、土地用途与公益性用地情况</w:t>
      </w:r>
    </w:p>
    <w:p w14:paraId="2A73494C">
      <w:pPr>
        <w:pStyle w:val="4"/>
        <w:keepNext w:val="0"/>
        <w:keepLines w:val="0"/>
        <w:pageBreakBefore w:val="0"/>
        <w:kinsoku/>
        <w:wordWrap/>
        <w:overflowPunct/>
        <w:topLinePunct w:val="0"/>
        <w:bidi w:val="0"/>
        <w:spacing w:line="500" w:lineRule="atLeast"/>
        <w:ind w:firstLine="560" w:firstLineChars="200"/>
        <w:jc w:val="both"/>
        <w:textAlignment w:val="auto"/>
        <w:rPr>
          <w:rFonts w:hint="eastAsia"/>
          <w:lang w:eastAsia="zh-CN"/>
        </w:rPr>
      </w:pPr>
      <w:r>
        <w:rPr>
          <w:lang w:eastAsia="zh-CN"/>
        </w:rPr>
        <w:t>（一）土地用途</w:t>
      </w:r>
    </w:p>
    <w:p w14:paraId="23CFAE4B">
      <w:pPr>
        <w:pStyle w:val="4"/>
        <w:keepNext w:val="0"/>
        <w:keepLines w:val="0"/>
        <w:pageBreakBefore w:val="0"/>
        <w:kinsoku/>
        <w:wordWrap/>
        <w:overflowPunct/>
        <w:topLinePunct w:val="0"/>
        <w:bidi w:val="0"/>
        <w:spacing w:line="500" w:lineRule="atLeast"/>
        <w:ind w:firstLine="560" w:firstLineChars="200"/>
        <w:jc w:val="both"/>
        <w:textAlignment w:val="auto"/>
        <w:rPr>
          <w:rFonts w:ascii="Times New Roman" w:hAnsi="Times New Roman" w:cs="Times New Roman"/>
          <w:w w:val="99"/>
          <w:lang w:eastAsia="zh-CN"/>
        </w:rPr>
      </w:pPr>
      <w:r>
        <w:rPr>
          <w:rFonts w:ascii="Times New Roman" w:hAnsi="Times New Roman" w:cs="Times New Roman"/>
          <w:lang w:eastAsia="zh-CN"/>
        </w:rPr>
        <w:t>本次成片开发范围共包括</w:t>
      </w:r>
      <w:r>
        <w:rPr>
          <w:rFonts w:hint="eastAsia" w:ascii="Times New Roman" w:hAnsi="Times New Roman" w:cs="Times New Roman"/>
          <w:lang w:eastAsia="zh-CN"/>
        </w:rPr>
        <w:t>2</w:t>
      </w:r>
      <w:r>
        <w:rPr>
          <w:rFonts w:ascii="Times New Roman" w:hAnsi="Times New Roman" w:cs="Times New Roman"/>
          <w:lang w:eastAsia="zh-CN"/>
        </w:rPr>
        <w:t>个片区，</w:t>
      </w:r>
      <w:r>
        <w:rPr>
          <w:rFonts w:hint="eastAsia" w:ascii="Times New Roman" w:hAnsi="Times New Roman" w:cs="Times New Roman"/>
          <w:lang w:eastAsia="zh-CN"/>
        </w:rPr>
        <w:t>为商业商务区和工业发展区</w:t>
      </w:r>
      <w:r>
        <w:rPr>
          <w:rFonts w:ascii="Times New Roman" w:hAnsi="Times New Roman" w:cs="Times New Roman"/>
          <w:lang w:eastAsia="zh-CN"/>
        </w:rPr>
        <w:t>，详</w:t>
      </w:r>
      <w:r>
        <w:rPr>
          <w:rFonts w:hint="eastAsia" w:ascii="Times New Roman" w:hAnsi="Times New Roman" w:cs="Times New Roman"/>
          <w:lang w:eastAsia="zh-CN"/>
        </w:rPr>
        <w:t>见</w:t>
      </w:r>
      <w:r>
        <w:rPr>
          <w:rFonts w:ascii="Times New Roman" w:hAnsi="Times New Roman" w:cs="Times New Roman"/>
          <w:lang w:eastAsia="zh-CN"/>
        </w:rPr>
        <w:t>下表。</w:t>
      </w:r>
    </w:p>
    <w:p w14:paraId="715E4A3C">
      <w:pPr>
        <w:pStyle w:val="4"/>
        <w:keepNext w:val="0"/>
        <w:keepLines w:val="0"/>
        <w:pageBreakBefore w:val="0"/>
        <w:kinsoku/>
        <w:wordWrap/>
        <w:overflowPunct/>
        <w:topLinePunct w:val="0"/>
        <w:bidi w:val="0"/>
        <w:spacing w:before="1" w:line="500" w:lineRule="atLeast"/>
        <w:jc w:val="center"/>
        <w:textAlignment w:val="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 xml:space="preserve">表2 </w:t>
      </w:r>
      <w:r>
        <w:rPr>
          <w:rFonts w:hint="eastAsia" w:ascii="Times New Roman" w:hAnsi="Times New Roman" w:cs="Times New Roman"/>
          <w:b/>
          <w:bCs/>
          <w:sz w:val="24"/>
          <w:szCs w:val="24"/>
          <w:lang w:eastAsia="zh-CN"/>
        </w:rPr>
        <w:t xml:space="preserve"> </w:t>
      </w:r>
      <w:r>
        <w:rPr>
          <w:rFonts w:ascii="Times New Roman" w:hAnsi="Times New Roman" w:cs="Times New Roman"/>
          <w:b/>
          <w:bCs/>
          <w:sz w:val="24"/>
          <w:szCs w:val="24"/>
          <w:lang w:eastAsia="zh-CN"/>
        </w:rPr>
        <w:t>片区土地用途汇总表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3632"/>
        <w:gridCol w:w="2471"/>
        <w:gridCol w:w="2130"/>
      </w:tblGrid>
      <w:tr w14:paraId="6A8E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548" w:type="pct"/>
            <w:vAlign w:val="center"/>
          </w:tcPr>
          <w:p w14:paraId="42564E28">
            <w:pPr>
              <w:keepNext w:val="0"/>
              <w:keepLines w:val="0"/>
              <w:pageBreakBefore w:val="0"/>
              <w:widowControl/>
              <w:kinsoku/>
              <w:wordWrap/>
              <w:overflowPunct/>
              <w:topLinePunct w:val="0"/>
              <w:autoSpaceDE/>
              <w:autoSpaceDN/>
              <w:bidi w:val="0"/>
              <w:spacing w:line="500" w:lineRule="atLeast"/>
              <w:jc w:val="center"/>
              <w:textAlignment w:val="auto"/>
              <w:rPr>
                <w:rFonts w:ascii="Times New Roman" w:hAnsi="Times New Roman" w:cs="Times New Roman"/>
                <w:b/>
                <w:bCs/>
                <w:color w:val="000000"/>
                <w:sz w:val="24"/>
                <w:szCs w:val="24"/>
                <w:lang w:eastAsia="zh-CN"/>
              </w:rPr>
            </w:pPr>
            <w:r>
              <w:rPr>
                <w:rFonts w:ascii="Times New Roman" w:hAnsi="Times New Roman" w:cs="Times New Roman"/>
                <w:b/>
                <w:bCs/>
                <w:color w:val="000000"/>
                <w:sz w:val="24"/>
                <w:szCs w:val="24"/>
                <w:lang w:eastAsia="zh-CN"/>
              </w:rPr>
              <w:t>序号</w:t>
            </w:r>
          </w:p>
        </w:tc>
        <w:tc>
          <w:tcPr>
            <w:tcW w:w="1964" w:type="pct"/>
            <w:vAlign w:val="center"/>
          </w:tcPr>
          <w:p w14:paraId="04011978">
            <w:pPr>
              <w:keepNext w:val="0"/>
              <w:keepLines w:val="0"/>
              <w:pageBreakBefore w:val="0"/>
              <w:widowControl/>
              <w:kinsoku/>
              <w:wordWrap/>
              <w:overflowPunct/>
              <w:topLinePunct w:val="0"/>
              <w:autoSpaceDE/>
              <w:autoSpaceDN/>
              <w:bidi w:val="0"/>
              <w:spacing w:line="500" w:lineRule="atLeast"/>
              <w:jc w:val="center"/>
              <w:textAlignment w:val="auto"/>
              <w:rPr>
                <w:rFonts w:ascii="Times New Roman" w:hAnsi="Times New Roman" w:cs="Times New Roman"/>
                <w:b/>
                <w:bCs/>
                <w:color w:val="000000"/>
                <w:sz w:val="24"/>
                <w:szCs w:val="24"/>
                <w:lang w:eastAsia="zh-CN"/>
              </w:rPr>
            </w:pPr>
            <w:r>
              <w:rPr>
                <w:rFonts w:ascii="Times New Roman" w:hAnsi="Times New Roman" w:cs="Times New Roman"/>
                <w:b/>
                <w:bCs/>
                <w:color w:val="000000"/>
                <w:sz w:val="24"/>
                <w:szCs w:val="24"/>
                <w:lang w:eastAsia="zh-CN"/>
              </w:rPr>
              <w:t>片区名称</w:t>
            </w:r>
          </w:p>
        </w:tc>
        <w:tc>
          <w:tcPr>
            <w:tcW w:w="1336" w:type="pct"/>
            <w:vAlign w:val="center"/>
          </w:tcPr>
          <w:p w14:paraId="393AC844">
            <w:pPr>
              <w:keepNext w:val="0"/>
              <w:keepLines w:val="0"/>
              <w:pageBreakBefore w:val="0"/>
              <w:widowControl/>
              <w:kinsoku/>
              <w:wordWrap/>
              <w:overflowPunct/>
              <w:topLinePunct w:val="0"/>
              <w:autoSpaceDE/>
              <w:autoSpaceDN/>
              <w:bidi w:val="0"/>
              <w:spacing w:line="500" w:lineRule="atLeast"/>
              <w:jc w:val="center"/>
              <w:textAlignment w:val="auto"/>
              <w:rPr>
                <w:rFonts w:ascii="Times New Roman" w:hAnsi="Times New Roman" w:cs="Times New Roman"/>
                <w:b/>
                <w:bCs/>
                <w:color w:val="000000"/>
                <w:sz w:val="24"/>
                <w:szCs w:val="24"/>
                <w:lang w:eastAsia="zh-CN"/>
              </w:rPr>
            </w:pPr>
            <w:r>
              <w:rPr>
                <w:rFonts w:ascii="Times New Roman" w:hAnsi="Times New Roman" w:cs="Times New Roman"/>
                <w:b/>
                <w:bCs/>
                <w:color w:val="000000"/>
                <w:sz w:val="24"/>
                <w:szCs w:val="24"/>
                <w:lang w:eastAsia="zh-CN"/>
              </w:rPr>
              <w:t>拟安排项目</w:t>
            </w:r>
          </w:p>
        </w:tc>
        <w:tc>
          <w:tcPr>
            <w:tcW w:w="1152" w:type="pct"/>
            <w:vAlign w:val="center"/>
          </w:tcPr>
          <w:p w14:paraId="1F21B0F9">
            <w:pPr>
              <w:keepNext w:val="0"/>
              <w:keepLines w:val="0"/>
              <w:pageBreakBefore w:val="0"/>
              <w:widowControl/>
              <w:kinsoku/>
              <w:wordWrap/>
              <w:overflowPunct/>
              <w:topLinePunct w:val="0"/>
              <w:autoSpaceDE/>
              <w:autoSpaceDN/>
              <w:bidi w:val="0"/>
              <w:spacing w:line="500" w:lineRule="atLeast"/>
              <w:jc w:val="center"/>
              <w:textAlignment w:val="auto"/>
              <w:rPr>
                <w:rFonts w:ascii="Times New Roman" w:hAnsi="Times New Roman" w:cs="Times New Roman"/>
                <w:b/>
                <w:bCs/>
                <w:color w:val="000000"/>
                <w:sz w:val="24"/>
                <w:szCs w:val="24"/>
                <w:lang w:eastAsia="zh-CN"/>
              </w:rPr>
            </w:pPr>
            <w:r>
              <w:rPr>
                <w:rFonts w:ascii="Times New Roman" w:hAnsi="Times New Roman" w:cs="Times New Roman"/>
                <w:b/>
                <w:bCs/>
                <w:color w:val="000000"/>
                <w:sz w:val="24"/>
                <w:szCs w:val="24"/>
                <w:lang w:eastAsia="zh-CN"/>
              </w:rPr>
              <w:t>规划功能分区</w:t>
            </w:r>
          </w:p>
        </w:tc>
      </w:tr>
      <w:tr w14:paraId="04B1A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8" w:type="pct"/>
            <w:noWrap/>
            <w:vAlign w:val="center"/>
          </w:tcPr>
          <w:p w14:paraId="0908AB4F">
            <w:pPr>
              <w:keepNext w:val="0"/>
              <w:keepLines w:val="0"/>
              <w:pageBreakBefore w:val="0"/>
              <w:widowControl/>
              <w:kinsoku/>
              <w:wordWrap/>
              <w:overflowPunct/>
              <w:topLinePunct w:val="0"/>
              <w:autoSpaceDE/>
              <w:autoSpaceDN/>
              <w:bidi w:val="0"/>
              <w:spacing w:line="500" w:lineRule="atLeast"/>
              <w:jc w:val="center"/>
              <w:textAlignment w:val="auto"/>
              <w:rPr>
                <w:rFonts w:ascii="Times New Roman" w:hAnsi="Times New Roman" w:cs="Times New Roman"/>
                <w:color w:val="000000"/>
                <w:sz w:val="24"/>
                <w:szCs w:val="24"/>
                <w:lang w:eastAsia="zh-CN"/>
              </w:rPr>
            </w:pPr>
            <w:r>
              <w:rPr>
                <w:rFonts w:ascii="Times New Roman" w:hAnsi="Times New Roman" w:cs="Times New Roman"/>
                <w:color w:val="000000"/>
                <w:sz w:val="24"/>
                <w:szCs w:val="24"/>
              </w:rPr>
              <w:t>1</w:t>
            </w:r>
          </w:p>
        </w:tc>
        <w:tc>
          <w:tcPr>
            <w:tcW w:w="1964" w:type="pct"/>
            <w:vAlign w:val="center"/>
          </w:tcPr>
          <w:p w14:paraId="2CA0BC0F">
            <w:pPr>
              <w:keepNext w:val="0"/>
              <w:keepLines w:val="0"/>
              <w:pageBreakBefore w:val="0"/>
              <w:widowControl/>
              <w:kinsoku/>
              <w:wordWrap/>
              <w:overflowPunct/>
              <w:topLinePunct w:val="0"/>
              <w:autoSpaceDE/>
              <w:autoSpaceDN/>
              <w:bidi w:val="0"/>
              <w:spacing w:line="500" w:lineRule="atLeast"/>
              <w:jc w:val="center"/>
              <w:textAlignment w:val="auto"/>
              <w:rPr>
                <w:rFonts w:ascii="Times New Roman" w:hAnsi="Times New Roman" w:cs="Times New Roman"/>
                <w:color w:val="000000"/>
                <w:sz w:val="24"/>
                <w:szCs w:val="24"/>
                <w:lang w:eastAsia="zh-CN"/>
              </w:rPr>
            </w:pPr>
            <w:r>
              <w:rPr>
                <w:rFonts w:hint="eastAsia"/>
                <w:color w:val="000000"/>
                <w:sz w:val="24"/>
                <w:szCs w:val="24"/>
                <w:lang w:eastAsia="zh-CN"/>
              </w:rPr>
              <w:t>北陡镇沙咀村商业片区</w:t>
            </w:r>
          </w:p>
        </w:tc>
        <w:tc>
          <w:tcPr>
            <w:tcW w:w="1336" w:type="pct"/>
            <w:vAlign w:val="center"/>
          </w:tcPr>
          <w:p w14:paraId="2D5B546E">
            <w:pPr>
              <w:keepNext w:val="0"/>
              <w:keepLines w:val="0"/>
              <w:pageBreakBefore w:val="0"/>
              <w:widowControl/>
              <w:kinsoku/>
              <w:wordWrap/>
              <w:overflowPunct/>
              <w:topLinePunct w:val="0"/>
              <w:autoSpaceDE/>
              <w:autoSpaceDN/>
              <w:bidi w:val="0"/>
              <w:spacing w:line="500" w:lineRule="atLeast"/>
              <w:jc w:val="center"/>
              <w:textAlignment w:val="auto"/>
              <w:rPr>
                <w:rFonts w:ascii="Times New Roman" w:hAnsi="Times New Roman" w:cs="Times New Roman"/>
                <w:color w:val="000000"/>
                <w:sz w:val="24"/>
                <w:szCs w:val="24"/>
                <w:lang w:eastAsia="zh-CN"/>
              </w:rPr>
            </w:pPr>
            <w:r>
              <w:rPr>
                <w:rFonts w:hint="eastAsia"/>
                <w:color w:val="000000"/>
                <w:sz w:val="24"/>
                <w:szCs w:val="24"/>
              </w:rPr>
              <w:t>沙咀村商业项目</w:t>
            </w:r>
          </w:p>
        </w:tc>
        <w:tc>
          <w:tcPr>
            <w:tcW w:w="1152" w:type="pct"/>
            <w:vAlign w:val="center"/>
          </w:tcPr>
          <w:p w14:paraId="23C2D6A8">
            <w:pPr>
              <w:keepNext w:val="0"/>
              <w:keepLines w:val="0"/>
              <w:pageBreakBefore w:val="0"/>
              <w:widowControl/>
              <w:kinsoku/>
              <w:wordWrap/>
              <w:overflowPunct/>
              <w:topLinePunct w:val="0"/>
              <w:autoSpaceDE/>
              <w:autoSpaceDN/>
              <w:bidi w:val="0"/>
              <w:spacing w:line="500" w:lineRule="atLeast"/>
              <w:jc w:val="center"/>
              <w:textAlignment w:val="auto"/>
              <w:rPr>
                <w:rFonts w:ascii="Times New Roman" w:hAnsi="Times New Roman" w:cs="Times New Roman"/>
                <w:color w:val="000000"/>
                <w:sz w:val="24"/>
                <w:szCs w:val="24"/>
                <w:lang w:eastAsia="zh-CN"/>
              </w:rPr>
            </w:pPr>
            <w:r>
              <w:rPr>
                <w:rFonts w:hint="eastAsia"/>
                <w:color w:val="000000"/>
                <w:sz w:val="24"/>
                <w:szCs w:val="24"/>
              </w:rPr>
              <w:t>商业商务区</w:t>
            </w:r>
          </w:p>
        </w:tc>
      </w:tr>
      <w:tr w14:paraId="140E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8" w:type="pct"/>
            <w:noWrap/>
            <w:vAlign w:val="center"/>
          </w:tcPr>
          <w:p w14:paraId="70728AEF">
            <w:pPr>
              <w:keepNext w:val="0"/>
              <w:keepLines w:val="0"/>
              <w:pageBreakBefore w:val="0"/>
              <w:widowControl/>
              <w:kinsoku/>
              <w:wordWrap/>
              <w:overflowPunct/>
              <w:topLinePunct w:val="0"/>
              <w:autoSpaceDE/>
              <w:autoSpaceDN/>
              <w:bidi w:val="0"/>
              <w:spacing w:line="500" w:lineRule="atLeast"/>
              <w:jc w:val="center"/>
              <w:textAlignment w:val="auto"/>
              <w:rPr>
                <w:rFonts w:ascii="Times New Roman" w:hAnsi="Times New Roman" w:cs="Times New Roman"/>
                <w:color w:val="000000"/>
                <w:sz w:val="24"/>
                <w:szCs w:val="24"/>
                <w:lang w:eastAsia="zh-CN"/>
              </w:rPr>
            </w:pPr>
            <w:r>
              <w:rPr>
                <w:rFonts w:hint="eastAsia" w:ascii="Times New Roman" w:hAnsi="Times New Roman" w:cs="Times New Roman"/>
                <w:color w:val="000000"/>
                <w:sz w:val="24"/>
                <w:szCs w:val="24"/>
                <w:lang w:eastAsia="zh-CN"/>
              </w:rPr>
              <w:t>2</w:t>
            </w:r>
          </w:p>
        </w:tc>
        <w:tc>
          <w:tcPr>
            <w:tcW w:w="1964" w:type="pct"/>
            <w:vAlign w:val="center"/>
          </w:tcPr>
          <w:p w14:paraId="7548DE0B">
            <w:pPr>
              <w:keepNext w:val="0"/>
              <w:keepLines w:val="0"/>
              <w:pageBreakBefore w:val="0"/>
              <w:widowControl/>
              <w:kinsoku/>
              <w:wordWrap/>
              <w:overflowPunct/>
              <w:topLinePunct w:val="0"/>
              <w:autoSpaceDE/>
              <w:autoSpaceDN/>
              <w:bidi w:val="0"/>
              <w:spacing w:line="500" w:lineRule="atLeast"/>
              <w:jc w:val="center"/>
              <w:textAlignment w:val="auto"/>
              <w:rPr>
                <w:rFonts w:ascii="Times New Roman" w:hAnsi="Times New Roman" w:cs="Times New Roman"/>
                <w:color w:val="000000"/>
                <w:sz w:val="24"/>
                <w:szCs w:val="24"/>
                <w:lang w:eastAsia="zh-CN"/>
              </w:rPr>
            </w:pPr>
            <w:r>
              <w:rPr>
                <w:rFonts w:hint="eastAsia"/>
                <w:color w:val="000000"/>
                <w:sz w:val="24"/>
                <w:szCs w:val="24"/>
                <w:lang w:eastAsia="zh-CN"/>
              </w:rPr>
              <w:t>赤溪镇磅礴村工业片区</w:t>
            </w:r>
          </w:p>
        </w:tc>
        <w:tc>
          <w:tcPr>
            <w:tcW w:w="1336" w:type="pct"/>
            <w:vAlign w:val="center"/>
          </w:tcPr>
          <w:p w14:paraId="077B4981">
            <w:pPr>
              <w:keepNext w:val="0"/>
              <w:keepLines w:val="0"/>
              <w:pageBreakBefore w:val="0"/>
              <w:widowControl/>
              <w:kinsoku/>
              <w:wordWrap/>
              <w:overflowPunct/>
              <w:topLinePunct w:val="0"/>
              <w:autoSpaceDE/>
              <w:autoSpaceDN/>
              <w:bidi w:val="0"/>
              <w:spacing w:line="500" w:lineRule="atLeast"/>
              <w:jc w:val="center"/>
              <w:textAlignment w:val="auto"/>
              <w:rPr>
                <w:rFonts w:ascii="Times New Roman" w:hAnsi="Times New Roman" w:cs="Times New Roman"/>
                <w:color w:val="000000"/>
                <w:sz w:val="24"/>
                <w:szCs w:val="24"/>
                <w:lang w:eastAsia="zh-CN"/>
              </w:rPr>
            </w:pPr>
            <w:r>
              <w:rPr>
                <w:rFonts w:hint="eastAsia"/>
                <w:color w:val="000000"/>
                <w:sz w:val="24"/>
                <w:szCs w:val="24"/>
              </w:rPr>
              <w:t>磅礴村工业项目</w:t>
            </w:r>
          </w:p>
        </w:tc>
        <w:tc>
          <w:tcPr>
            <w:tcW w:w="1152" w:type="pct"/>
            <w:vAlign w:val="center"/>
          </w:tcPr>
          <w:p w14:paraId="1FBF96EF">
            <w:pPr>
              <w:keepNext w:val="0"/>
              <w:keepLines w:val="0"/>
              <w:pageBreakBefore w:val="0"/>
              <w:widowControl/>
              <w:kinsoku/>
              <w:wordWrap/>
              <w:overflowPunct/>
              <w:topLinePunct w:val="0"/>
              <w:autoSpaceDE/>
              <w:autoSpaceDN/>
              <w:bidi w:val="0"/>
              <w:spacing w:line="500" w:lineRule="atLeast"/>
              <w:jc w:val="center"/>
              <w:textAlignment w:val="auto"/>
              <w:rPr>
                <w:rFonts w:ascii="Times New Roman" w:hAnsi="Times New Roman" w:cs="Times New Roman"/>
                <w:color w:val="000000"/>
                <w:sz w:val="24"/>
                <w:szCs w:val="24"/>
              </w:rPr>
            </w:pPr>
            <w:r>
              <w:rPr>
                <w:rFonts w:hint="eastAsia"/>
                <w:color w:val="000000"/>
                <w:sz w:val="24"/>
                <w:szCs w:val="24"/>
              </w:rPr>
              <w:t>工业发展区</w:t>
            </w:r>
          </w:p>
        </w:tc>
      </w:tr>
    </w:tbl>
    <w:p w14:paraId="66C3BCEF">
      <w:pPr>
        <w:pStyle w:val="4"/>
        <w:keepNext w:val="0"/>
        <w:keepLines w:val="0"/>
        <w:pageBreakBefore w:val="0"/>
        <w:kinsoku/>
        <w:wordWrap/>
        <w:overflowPunct/>
        <w:topLinePunct w:val="0"/>
        <w:bidi w:val="0"/>
        <w:spacing w:before="170" w:line="500" w:lineRule="atLeast"/>
        <w:ind w:firstLine="560" w:firstLineChars="200"/>
        <w:jc w:val="both"/>
        <w:textAlignment w:val="auto"/>
        <w:rPr>
          <w:rFonts w:hint="eastAsia"/>
          <w:lang w:eastAsia="zh-CN"/>
        </w:rPr>
      </w:pPr>
      <w:r>
        <w:rPr>
          <w:lang w:eastAsia="zh-CN"/>
        </w:rPr>
        <w:t>（二）公益性用地</w:t>
      </w:r>
      <w:r>
        <w:rPr>
          <w:rFonts w:hint="eastAsia"/>
          <w:lang w:eastAsia="zh-CN"/>
        </w:rPr>
        <w:t>和拟征收用地</w:t>
      </w:r>
      <w:r>
        <w:rPr>
          <w:lang w:eastAsia="zh-CN"/>
        </w:rPr>
        <w:t>情况</w:t>
      </w:r>
    </w:p>
    <w:p w14:paraId="7E33FBAE">
      <w:pPr>
        <w:pStyle w:val="4"/>
        <w:keepNext w:val="0"/>
        <w:keepLines w:val="0"/>
        <w:pageBreakBefore w:val="0"/>
        <w:kinsoku/>
        <w:wordWrap/>
        <w:overflowPunct/>
        <w:topLinePunct w:val="0"/>
        <w:bidi w:val="0"/>
        <w:spacing w:line="500" w:lineRule="atLeast"/>
        <w:ind w:right="84" w:firstLine="560" w:firstLineChars="200"/>
        <w:jc w:val="both"/>
        <w:textAlignment w:val="auto"/>
        <w:rPr>
          <w:rFonts w:ascii="Times New Roman" w:hAnsi="Times New Roman" w:cs="Times New Roman"/>
          <w:spacing w:val="-4"/>
          <w:lang w:eastAsia="zh-CN"/>
        </w:rPr>
      </w:pPr>
      <w:r>
        <w:rPr>
          <w:rFonts w:ascii="Times New Roman" w:hAnsi="Times New Roman" w:cs="Times New Roman"/>
          <w:lang w:eastAsia="zh-CN"/>
        </w:rPr>
        <w:t>成片开发区域内</w:t>
      </w:r>
      <w:r>
        <w:rPr>
          <w:rFonts w:ascii="Times New Roman" w:hAnsi="Times New Roman" w:cs="Times New Roman"/>
          <w:spacing w:val="-4"/>
          <w:lang w:val="zh-CN" w:eastAsia="zh-CN" w:bidi="zh-CN"/>
        </w:rPr>
        <w:t>公益性用地</w:t>
      </w:r>
      <w:r>
        <w:rPr>
          <w:rFonts w:hint="eastAsia" w:ascii="Times New Roman" w:hAnsi="Times New Roman" w:cs="Times New Roman"/>
          <w:spacing w:val="-4"/>
          <w:lang w:val="zh-CN" w:eastAsia="zh-CN" w:bidi="zh-CN"/>
        </w:rPr>
        <w:t>4.1144公顷</w:t>
      </w:r>
      <w:r>
        <w:rPr>
          <w:rFonts w:ascii="Times New Roman" w:hAnsi="Times New Roman" w:cs="Times New Roman"/>
          <w:spacing w:val="-4"/>
          <w:lang w:val="zh-CN" w:eastAsia="zh-CN" w:bidi="zh-CN"/>
        </w:rPr>
        <w:t>，占成片开发范围总面积比例</w:t>
      </w:r>
      <w:r>
        <w:rPr>
          <w:rFonts w:hint="eastAsia" w:ascii="Times New Roman" w:hAnsi="Times New Roman" w:cs="Times New Roman"/>
          <w:spacing w:val="-4"/>
          <w:lang w:val="zh-CN" w:eastAsia="zh-CN" w:bidi="zh-CN"/>
        </w:rPr>
        <w:t>20.32</w:t>
      </w:r>
      <w:r>
        <w:rPr>
          <w:rFonts w:ascii="Times New Roman" w:hAnsi="Times New Roman" w:cs="Times New Roman"/>
          <w:spacing w:val="-4"/>
          <w:lang w:val="zh-CN" w:eastAsia="zh-CN" w:bidi="zh-CN"/>
        </w:rPr>
        <w:t>%</w:t>
      </w:r>
      <w:r>
        <w:rPr>
          <w:rFonts w:ascii="Times New Roman" w:hAnsi="Times New Roman" w:cs="Times New Roman"/>
          <w:lang w:eastAsia="zh-CN"/>
        </w:rPr>
        <w:t>，为</w:t>
      </w:r>
      <w:r>
        <w:rPr>
          <w:rFonts w:hint="eastAsia" w:ascii="Times New Roman" w:hAnsi="Times New Roman" w:cs="Times New Roman"/>
          <w:lang w:eastAsia="zh-CN"/>
        </w:rPr>
        <w:t>公共管理与公共服务用地、交通运输用地和绿地与开敞空间用地</w:t>
      </w:r>
      <w:r>
        <w:rPr>
          <w:rFonts w:ascii="Times New Roman" w:hAnsi="Times New Roman" w:cs="Times New Roman"/>
          <w:lang w:eastAsia="zh-CN"/>
        </w:rPr>
        <w:t>，符合</w:t>
      </w:r>
      <w:r>
        <w:rPr>
          <w:rFonts w:hint="eastAsia" w:ascii="Times New Roman" w:hAnsi="Times New Roman" w:cs="Times New Roman"/>
          <w:lang w:eastAsia="zh-CN"/>
        </w:rPr>
        <w:t>《广东省自然资源厅关于进一步规范土地征收成片开发工作的通知》（粤自然资规字〔2024〕7号）中城镇开发边界外公益性用地比例不低于20%的要求</w:t>
      </w:r>
      <w:r>
        <w:rPr>
          <w:rFonts w:ascii="Times New Roman" w:hAnsi="Times New Roman" w:cs="Times New Roman"/>
          <w:w w:val="99"/>
          <w:lang w:eastAsia="zh-CN"/>
        </w:rPr>
        <w:t>。</w:t>
      </w:r>
      <w:r>
        <w:rPr>
          <w:rFonts w:ascii="Times New Roman" w:hAnsi="Times New Roman" w:cs="Times New Roman"/>
          <w:lang w:eastAsia="zh-CN"/>
        </w:rPr>
        <w:t>成片开发区域内</w:t>
      </w:r>
      <w:r>
        <w:rPr>
          <w:rFonts w:hint="eastAsia" w:ascii="Times New Roman" w:hAnsi="Times New Roman" w:cs="Times New Roman"/>
          <w:spacing w:val="-4"/>
          <w:lang w:eastAsia="zh-CN"/>
        </w:rPr>
        <w:t>拟征收用地面积16.1364公顷，占成片开发范围总面积比例79.68%。</w:t>
      </w:r>
    </w:p>
    <w:p w14:paraId="2B4B40C4">
      <w:pPr>
        <w:pStyle w:val="2"/>
        <w:keepNext w:val="0"/>
        <w:keepLines w:val="0"/>
        <w:pageBreakBefore w:val="0"/>
        <w:kinsoku/>
        <w:wordWrap/>
        <w:overflowPunct/>
        <w:topLinePunct w:val="0"/>
        <w:bidi w:val="0"/>
        <w:spacing w:before="12" w:line="500" w:lineRule="atLeast"/>
        <w:ind w:left="0"/>
        <w:textAlignment w:val="auto"/>
        <w:rPr>
          <w:rFonts w:hint="eastAsia" w:ascii="黑体" w:hAnsi="黑体" w:eastAsia="黑体"/>
          <w:lang w:eastAsia="zh-CN"/>
        </w:rPr>
      </w:pPr>
      <w:r>
        <w:rPr>
          <w:rFonts w:ascii="黑体" w:hAnsi="黑体" w:eastAsia="黑体"/>
          <w:lang w:eastAsia="zh-CN"/>
        </w:rPr>
        <w:t>五、实施计划</w:t>
      </w:r>
    </w:p>
    <w:p w14:paraId="7011F4F7">
      <w:pPr>
        <w:pStyle w:val="4"/>
        <w:keepNext w:val="0"/>
        <w:keepLines w:val="0"/>
        <w:pageBreakBefore w:val="0"/>
        <w:kinsoku/>
        <w:wordWrap/>
        <w:overflowPunct/>
        <w:topLinePunct w:val="0"/>
        <w:bidi w:val="0"/>
        <w:spacing w:before="1" w:line="500" w:lineRule="atLeast"/>
        <w:ind w:firstLine="560" w:firstLineChars="200"/>
        <w:jc w:val="both"/>
        <w:textAlignment w:val="auto"/>
        <w:rPr>
          <w:rFonts w:ascii="Times New Roman" w:hAnsi="Times New Roman" w:cs="Times New Roman"/>
          <w:lang w:eastAsia="zh-CN"/>
        </w:rPr>
      </w:pPr>
      <w:r>
        <w:rPr>
          <w:rFonts w:ascii="Times New Roman" w:hAnsi="Times New Roman" w:cs="Times New Roman"/>
          <w:lang w:eastAsia="zh-CN"/>
        </w:rPr>
        <w:t>本方案划定成片开发范围</w:t>
      </w:r>
      <w:r>
        <w:rPr>
          <w:rFonts w:hint="eastAsia" w:ascii="Times New Roman" w:hAnsi="Times New Roman" w:cs="Times New Roman"/>
          <w:lang w:eastAsia="zh-CN"/>
        </w:rPr>
        <w:t>20.2507</w:t>
      </w:r>
      <w:r>
        <w:rPr>
          <w:rFonts w:ascii="Times New Roman" w:hAnsi="Times New Roman" w:cs="Times New Roman"/>
          <w:lang w:eastAsia="zh-CN"/>
        </w:rPr>
        <w:t>公顷，</w:t>
      </w:r>
      <w:r>
        <w:rPr>
          <w:rFonts w:hint="eastAsia" w:ascii="Times New Roman" w:hAnsi="Times New Roman" w:cs="Times New Roman"/>
          <w:lang w:eastAsia="zh-CN"/>
        </w:rPr>
        <w:t>拟征收用地面积</w:t>
      </w:r>
      <w:r>
        <w:rPr>
          <w:rFonts w:hint="eastAsia" w:ascii="Times New Roman" w:hAnsi="Times New Roman" w:cs="Times New Roman"/>
          <w:spacing w:val="-4"/>
          <w:lang w:eastAsia="zh-CN"/>
        </w:rPr>
        <w:t>16.1364</w:t>
      </w:r>
      <w:r>
        <w:rPr>
          <w:rFonts w:hint="eastAsia" w:ascii="Times New Roman" w:hAnsi="Times New Roman" w:cs="Times New Roman"/>
          <w:lang w:eastAsia="zh-CN"/>
        </w:rPr>
        <w:t>公顷，</w:t>
      </w:r>
      <w:r>
        <w:rPr>
          <w:rFonts w:ascii="Times New Roman" w:hAnsi="Times New Roman" w:cs="Times New Roman"/>
          <w:lang w:eastAsia="zh-CN"/>
        </w:rPr>
        <w:t>计划实施周期为</w:t>
      </w:r>
      <w:r>
        <w:rPr>
          <w:rFonts w:hint="eastAsia" w:ascii="Times New Roman" w:hAnsi="Times New Roman" w:cs="Times New Roman"/>
          <w:lang w:eastAsia="zh-CN"/>
        </w:rPr>
        <w:t>2025-2026</w:t>
      </w:r>
      <w:r>
        <w:rPr>
          <w:rFonts w:ascii="Times New Roman" w:hAnsi="Times New Roman" w:cs="Times New Roman"/>
          <w:lang w:eastAsia="zh-CN"/>
        </w:rPr>
        <w:t>年</w:t>
      </w:r>
      <w:r>
        <w:rPr>
          <w:rFonts w:hint="eastAsia" w:ascii="Times New Roman" w:hAnsi="Times New Roman" w:cs="Times New Roman"/>
          <w:lang w:eastAsia="zh-CN"/>
        </w:rPr>
        <w:t>。</w:t>
      </w:r>
    </w:p>
    <w:p w14:paraId="08FFBA61">
      <w:pPr>
        <w:pStyle w:val="2"/>
        <w:keepNext w:val="0"/>
        <w:keepLines w:val="0"/>
        <w:pageBreakBefore w:val="0"/>
        <w:kinsoku/>
        <w:wordWrap/>
        <w:overflowPunct/>
        <w:topLinePunct w:val="0"/>
        <w:bidi w:val="0"/>
        <w:spacing w:before="12" w:line="500" w:lineRule="atLeast"/>
        <w:ind w:left="0"/>
        <w:textAlignment w:val="auto"/>
        <w:rPr>
          <w:rFonts w:hint="eastAsia" w:ascii="黑体" w:hAnsi="黑体" w:eastAsia="黑体"/>
          <w:lang w:eastAsia="zh-CN"/>
        </w:rPr>
      </w:pPr>
      <w:r>
        <w:rPr>
          <w:rFonts w:ascii="黑体" w:hAnsi="黑体" w:eastAsia="黑体"/>
          <w:lang w:eastAsia="zh-CN"/>
        </w:rPr>
        <w:t>六、效益评估</w:t>
      </w:r>
    </w:p>
    <w:p w14:paraId="559DDD1A">
      <w:pPr>
        <w:pStyle w:val="4"/>
        <w:keepNext w:val="0"/>
        <w:keepLines w:val="0"/>
        <w:pageBreakBefore w:val="0"/>
        <w:kinsoku/>
        <w:wordWrap/>
        <w:overflowPunct/>
        <w:topLinePunct w:val="0"/>
        <w:bidi w:val="0"/>
        <w:spacing w:before="1" w:line="500" w:lineRule="atLeast"/>
        <w:ind w:firstLine="560" w:firstLineChars="200"/>
        <w:jc w:val="both"/>
        <w:textAlignment w:val="auto"/>
        <w:rPr>
          <w:rFonts w:hint="eastAsia"/>
          <w:lang w:eastAsia="zh-CN"/>
        </w:rPr>
      </w:pPr>
      <w:r>
        <w:rPr>
          <w:lang w:eastAsia="zh-CN"/>
        </w:rPr>
        <w:t>（一）土地利用效益评估</w:t>
      </w:r>
    </w:p>
    <w:p w14:paraId="243806D3">
      <w:pPr>
        <w:pStyle w:val="4"/>
        <w:keepNext w:val="0"/>
        <w:keepLines w:val="0"/>
        <w:pageBreakBefore w:val="0"/>
        <w:kinsoku/>
        <w:wordWrap/>
        <w:overflowPunct/>
        <w:topLinePunct w:val="0"/>
        <w:bidi w:val="0"/>
        <w:spacing w:line="500" w:lineRule="atLeast"/>
        <w:ind w:right="142" w:firstLine="560" w:firstLineChars="200"/>
        <w:jc w:val="both"/>
        <w:textAlignment w:val="auto"/>
        <w:rPr>
          <w:rFonts w:hint="eastAsia"/>
          <w:lang w:eastAsia="zh-CN"/>
        </w:rPr>
      </w:pPr>
      <w:r>
        <w:rPr>
          <w:rFonts w:hint="eastAsia"/>
          <w:lang w:eastAsia="zh-CN"/>
        </w:rPr>
        <w:t>本次成片开发方案的编制有利于优化增量片区内新增建设用地空间布局，满足北陡镇和赤溪镇</w:t>
      </w:r>
      <w:r>
        <w:rPr>
          <w:rFonts w:hint="eastAsia" w:ascii="Times New Roman" w:hAnsi="Times New Roman" w:cs="Times New Roman"/>
          <w:lang w:eastAsia="zh-CN" w:bidi="zh-CN"/>
        </w:rPr>
        <w:t>的建设发展需求。</w:t>
      </w:r>
      <w:r>
        <w:rPr>
          <w:rFonts w:hint="eastAsia"/>
          <w:lang w:eastAsia="zh-CN"/>
        </w:rPr>
        <w:t>通过土地征收成片开发，将有效推进用地节约集约利用，避免用地浪费，实现土地资源的合理配置</w:t>
      </w:r>
      <w:r>
        <w:rPr>
          <w:rFonts w:ascii="Times New Roman" w:hAnsi="Times New Roman" w:cs="Times New Roman"/>
          <w:w w:val="99"/>
          <w:lang w:eastAsia="zh-CN"/>
        </w:rPr>
        <w:t>。</w:t>
      </w:r>
    </w:p>
    <w:p w14:paraId="146A9CAE">
      <w:pPr>
        <w:pStyle w:val="4"/>
        <w:keepNext w:val="0"/>
        <w:keepLines w:val="0"/>
        <w:pageBreakBefore w:val="0"/>
        <w:kinsoku/>
        <w:wordWrap/>
        <w:overflowPunct/>
        <w:topLinePunct w:val="0"/>
        <w:bidi w:val="0"/>
        <w:spacing w:before="61" w:line="500" w:lineRule="atLeast"/>
        <w:ind w:firstLine="560" w:firstLineChars="200"/>
        <w:jc w:val="both"/>
        <w:textAlignment w:val="auto"/>
        <w:rPr>
          <w:rFonts w:hint="eastAsia"/>
          <w:lang w:eastAsia="zh-CN"/>
        </w:rPr>
      </w:pPr>
      <w:r>
        <w:rPr>
          <w:lang w:eastAsia="zh-CN"/>
        </w:rPr>
        <w:t>（二）经济效益评估</w:t>
      </w:r>
    </w:p>
    <w:p w14:paraId="6C083E53">
      <w:pPr>
        <w:pStyle w:val="4"/>
        <w:keepNext w:val="0"/>
        <w:keepLines w:val="0"/>
        <w:pageBreakBefore w:val="0"/>
        <w:kinsoku/>
        <w:wordWrap/>
        <w:overflowPunct/>
        <w:topLinePunct w:val="0"/>
        <w:bidi w:val="0"/>
        <w:spacing w:line="500" w:lineRule="atLeast"/>
        <w:ind w:firstLine="560" w:firstLineChars="200"/>
        <w:jc w:val="both"/>
        <w:textAlignment w:val="auto"/>
        <w:rPr>
          <w:rFonts w:hint="eastAsia"/>
          <w:lang w:eastAsia="zh-CN"/>
        </w:rPr>
      </w:pPr>
      <w:r>
        <w:rPr>
          <w:rFonts w:hint="eastAsia"/>
          <w:lang w:eastAsia="zh-CN"/>
        </w:rPr>
        <w:t>本次</w:t>
      </w:r>
      <w:r>
        <w:rPr>
          <w:lang w:eastAsia="zh-CN"/>
        </w:rPr>
        <w:t>成片开发方案的编制可有效促进</w:t>
      </w:r>
      <w:r>
        <w:rPr>
          <w:rFonts w:hint="eastAsia"/>
          <w:lang w:eastAsia="zh-CN"/>
        </w:rPr>
        <w:t>北陡三湾滨海旅游业的发展，拟建设的旅游服务中心可促进乡村休闲旅游和农文旅融合发展，促进当地村民创业就业；有效推进赤溪镇</w:t>
      </w:r>
      <w:r>
        <w:rPr>
          <w:rFonts w:hint="eastAsia" w:ascii="Times New Roman" w:hAnsi="Times New Roman" w:cs="Times New Roman"/>
          <w:lang w:eastAsia="zh-CN" w:bidi="zh-CN"/>
        </w:rPr>
        <w:t>智能化</w:t>
      </w:r>
      <w:r>
        <w:rPr>
          <w:rFonts w:ascii="Times New Roman" w:hAnsi="Times New Roman" w:cs="Times New Roman"/>
          <w:lang w:eastAsia="zh-CN" w:bidi="zh-CN"/>
        </w:rPr>
        <w:t>新型建筑材料制造</w:t>
      </w:r>
      <w:r>
        <w:rPr>
          <w:rFonts w:hint="eastAsia" w:ascii="Times New Roman" w:hAnsi="Times New Roman" w:cs="Times New Roman"/>
          <w:lang w:eastAsia="zh-CN" w:bidi="zh-CN"/>
        </w:rPr>
        <w:t>业的发展，利用赤溪当地的产业配套，优化生产流程，提升产品精度与质量，凭借优质产品快速抢占模块化集成建筑市场份额。</w:t>
      </w:r>
    </w:p>
    <w:p w14:paraId="5A761C20">
      <w:pPr>
        <w:pStyle w:val="4"/>
        <w:keepNext w:val="0"/>
        <w:keepLines w:val="0"/>
        <w:pageBreakBefore w:val="0"/>
        <w:kinsoku/>
        <w:wordWrap/>
        <w:overflowPunct/>
        <w:topLinePunct w:val="0"/>
        <w:bidi w:val="0"/>
        <w:spacing w:before="61" w:line="500" w:lineRule="atLeast"/>
        <w:ind w:firstLine="560" w:firstLineChars="200"/>
        <w:jc w:val="both"/>
        <w:textAlignment w:val="auto"/>
        <w:rPr>
          <w:rFonts w:hint="eastAsia"/>
          <w:lang w:eastAsia="zh-CN"/>
        </w:rPr>
      </w:pPr>
      <w:r>
        <w:rPr>
          <w:lang w:eastAsia="zh-CN"/>
        </w:rPr>
        <w:t>（三）社会效益评估</w:t>
      </w:r>
    </w:p>
    <w:p w14:paraId="4E1E7F88">
      <w:pPr>
        <w:pStyle w:val="4"/>
        <w:keepNext w:val="0"/>
        <w:keepLines w:val="0"/>
        <w:pageBreakBefore w:val="0"/>
        <w:kinsoku/>
        <w:wordWrap/>
        <w:overflowPunct/>
        <w:topLinePunct w:val="0"/>
        <w:bidi w:val="0"/>
        <w:spacing w:line="500" w:lineRule="atLeast"/>
        <w:ind w:firstLine="560" w:firstLineChars="200"/>
        <w:jc w:val="both"/>
        <w:textAlignment w:val="auto"/>
        <w:rPr>
          <w:rFonts w:hint="eastAsia"/>
          <w:lang w:eastAsia="zh-CN"/>
        </w:rPr>
      </w:pPr>
      <w:r>
        <w:rPr>
          <w:rFonts w:hint="eastAsia"/>
          <w:lang w:eastAsia="zh-CN"/>
        </w:rPr>
        <w:t>可推进成片开发范围内部及周边基础设施及公共服务设施的建设，提升区域公共服务水平</w:t>
      </w:r>
      <w:r>
        <w:rPr>
          <w:lang w:eastAsia="zh-CN"/>
        </w:rPr>
        <w:t>。</w:t>
      </w:r>
      <w:r>
        <w:rPr>
          <w:rFonts w:hint="eastAsia"/>
          <w:lang w:eastAsia="zh-CN"/>
        </w:rPr>
        <w:t>有效保障片区设施配套建设需求。能够扩大商业、工业发展规模，创造大量就业岗位，</w:t>
      </w:r>
      <w:r>
        <w:rPr>
          <w:rFonts w:hint="eastAsia" w:ascii="Times New Roman" w:hAnsi="Times New Roman" w:cs="Times New Roman"/>
          <w:lang w:eastAsia="zh-CN"/>
        </w:rPr>
        <w:t>有利于吸收周边剩余劳动力</w:t>
      </w:r>
      <w:r>
        <w:rPr>
          <w:rFonts w:hint="eastAsia" w:ascii="Times New Roman" w:hAnsi="Times New Roman" w:cs="Times New Roman"/>
          <w:w w:val="99"/>
          <w:lang w:eastAsia="zh-CN"/>
        </w:rPr>
        <w:t>。</w:t>
      </w:r>
    </w:p>
    <w:p w14:paraId="2ED4B83A">
      <w:pPr>
        <w:pStyle w:val="4"/>
        <w:keepNext w:val="0"/>
        <w:keepLines w:val="0"/>
        <w:pageBreakBefore w:val="0"/>
        <w:kinsoku/>
        <w:wordWrap/>
        <w:overflowPunct/>
        <w:topLinePunct w:val="0"/>
        <w:bidi w:val="0"/>
        <w:spacing w:before="61" w:line="500" w:lineRule="atLeast"/>
        <w:ind w:firstLine="560" w:firstLineChars="200"/>
        <w:jc w:val="both"/>
        <w:textAlignment w:val="auto"/>
        <w:rPr>
          <w:rFonts w:hint="eastAsia"/>
          <w:lang w:eastAsia="zh-CN"/>
        </w:rPr>
      </w:pPr>
      <w:r>
        <w:rPr>
          <w:lang w:eastAsia="zh-CN"/>
        </w:rPr>
        <w:t>（四）生态效益评估</w:t>
      </w:r>
    </w:p>
    <w:p w14:paraId="01C150E4">
      <w:pPr>
        <w:pStyle w:val="4"/>
        <w:keepNext w:val="0"/>
        <w:keepLines w:val="0"/>
        <w:pageBreakBefore w:val="0"/>
        <w:kinsoku/>
        <w:wordWrap/>
        <w:overflowPunct/>
        <w:topLinePunct w:val="0"/>
        <w:bidi w:val="0"/>
        <w:spacing w:line="500" w:lineRule="atLeast"/>
        <w:ind w:firstLine="560" w:firstLineChars="200"/>
        <w:jc w:val="both"/>
        <w:textAlignment w:val="auto"/>
        <w:rPr>
          <w:rFonts w:ascii="Times New Roman" w:hAnsi="Times New Roman" w:cs="Times New Roman"/>
          <w:w w:val="99"/>
          <w:lang w:eastAsia="zh-CN"/>
        </w:rPr>
      </w:pPr>
      <w:r>
        <w:rPr>
          <w:rFonts w:hint="eastAsia"/>
          <w:lang w:eastAsia="zh-CN"/>
        </w:rPr>
        <w:t>成片开发范围内建设项目后续应依托台山市优质山水生态资源本底，结合详细规划设计提供多元的城市生态空间、改善城市环境</w:t>
      </w:r>
      <w:r>
        <w:rPr>
          <w:rFonts w:ascii="Times New Roman" w:hAnsi="Times New Roman" w:cs="Times New Roman"/>
          <w:w w:val="99"/>
          <w:lang w:eastAsia="zh-CN"/>
        </w:rPr>
        <w:t>。</w:t>
      </w:r>
    </w:p>
    <w:p w14:paraId="3D5B64B4">
      <w:pPr>
        <w:pStyle w:val="2"/>
        <w:keepNext w:val="0"/>
        <w:keepLines w:val="0"/>
        <w:pageBreakBefore w:val="0"/>
        <w:kinsoku/>
        <w:wordWrap/>
        <w:overflowPunct/>
        <w:topLinePunct w:val="0"/>
        <w:bidi w:val="0"/>
        <w:spacing w:before="12" w:line="500" w:lineRule="atLeast"/>
        <w:ind w:left="0"/>
        <w:jc w:val="both"/>
        <w:textAlignment w:val="auto"/>
        <w:rPr>
          <w:rFonts w:hint="eastAsia" w:ascii="黑体" w:hAnsi="黑体" w:eastAsia="黑体"/>
          <w:lang w:eastAsia="zh-CN"/>
        </w:rPr>
      </w:pPr>
      <w:r>
        <w:rPr>
          <w:rFonts w:ascii="黑体" w:hAnsi="黑体" w:eastAsia="黑体"/>
          <w:lang w:eastAsia="zh-CN"/>
        </w:rPr>
        <w:t>七、结论</w:t>
      </w:r>
    </w:p>
    <w:p w14:paraId="763321FB">
      <w:pPr>
        <w:pStyle w:val="4"/>
        <w:keepNext w:val="0"/>
        <w:keepLines w:val="0"/>
        <w:pageBreakBefore w:val="0"/>
        <w:kinsoku/>
        <w:wordWrap/>
        <w:overflowPunct/>
        <w:topLinePunct w:val="0"/>
        <w:bidi w:val="0"/>
        <w:adjustRightInd w:val="0"/>
        <w:snapToGrid w:val="0"/>
        <w:spacing w:line="500" w:lineRule="atLeast"/>
        <w:ind w:firstLine="560" w:firstLineChars="200"/>
        <w:jc w:val="both"/>
        <w:textAlignment w:val="auto"/>
        <w:rPr>
          <w:rFonts w:ascii="Times New Roman" w:hAnsi="Times New Roman"/>
          <w:lang w:eastAsia="zh-CN"/>
        </w:rPr>
      </w:pPr>
      <w:r>
        <w:rPr>
          <w:rFonts w:ascii="Times New Roman" w:hAnsi="Times New Roman" w:cs="Times New Roman"/>
          <w:lang w:eastAsia="zh-CN"/>
        </w:rPr>
        <w:t>综上所述，《江门市台山市</w:t>
      </w:r>
      <w:r>
        <w:rPr>
          <w:rFonts w:hint="eastAsia" w:ascii="Times New Roman" w:hAnsi="Times New Roman" w:cs="Times New Roman"/>
          <w:lang w:eastAsia="zh-CN"/>
        </w:rPr>
        <w:t>2</w:t>
      </w:r>
      <w:r>
        <w:rPr>
          <w:rFonts w:ascii="Times New Roman" w:hAnsi="Times New Roman" w:cs="Times New Roman"/>
          <w:lang w:eastAsia="zh-CN"/>
        </w:rPr>
        <w:t>0</w:t>
      </w:r>
      <w:r>
        <w:rPr>
          <w:rFonts w:hint="eastAsia" w:ascii="Times New Roman" w:hAnsi="Times New Roman" w:cs="Times New Roman"/>
          <w:lang w:eastAsia="zh-CN"/>
        </w:rPr>
        <w:t>25年度</w:t>
      </w:r>
      <w:r>
        <w:rPr>
          <w:rFonts w:ascii="Times New Roman" w:hAnsi="Times New Roman" w:cs="Times New Roman"/>
          <w:lang w:eastAsia="zh-CN"/>
        </w:rPr>
        <w:t>土地征收成片开发方案</w:t>
      </w:r>
      <w:r>
        <w:rPr>
          <w:rFonts w:hint="eastAsia" w:ascii="Times New Roman" w:hAnsi="Times New Roman" w:cs="Times New Roman"/>
          <w:lang w:eastAsia="zh-CN"/>
        </w:rPr>
        <w:t>（第二批）</w:t>
      </w:r>
      <w:r>
        <w:rPr>
          <w:rFonts w:ascii="Times New Roman" w:hAnsi="Times New Roman" w:cs="Times New Roman"/>
          <w:lang w:eastAsia="zh-CN"/>
        </w:rPr>
        <w:t>》符合</w:t>
      </w:r>
      <w:r>
        <w:rPr>
          <w:rFonts w:hint="eastAsia" w:ascii="Times New Roman" w:hAnsi="Times New Roman" w:cs="Times New Roman"/>
          <w:lang w:eastAsia="zh-CN"/>
        </w:rPr>
        <w:t>《中华人民共和国土地管理法》（2019年修订）、《自然资源部关于印发&lt;土地征收成片开发标准&gt;的通知》（自然资规〔2023〕7号）、《广东省自然资源厅关于进一步规范土地征收成片开发工作的通知》（粤自然资规字〔2024〕7号）等文件</w:t>
      </w:r>
      <w:r>
        <w:rPr>
          <w:rFonts w:ascii="Times New Roman" w:hAnsi="Times New Roman" w:cs="Times New Roman"/>
          <w:lang w:eastAsia="zh-CN"/>
        </w:rPr>
        <w:t>的要求</w:t>
      </w:r>
      <w:r>
        <w:rPr>
          <w:rFonts w:hint="eastAsia" w:ascii="Times New Roman" w:hAnsi="Times New Roman" w:cs="Times New Roman"/>
          <w:w w:val="99"/>
          <w:lang w:eastAsia="zh-CN"/>
        </w:rPr>
        <w:t>，</w:t>
      </w:r>
      <w:r>
        <w:rPr>
          <w:rFonts w:ascii="Times New Roman" w:hAnsi="Times New Roman"/>
          <w:lang w:eastAsia="zh-CN"/>
        </w:rPr>
        <w:t>方案必要性分析合理，土地征收实施计划安排可行性高，成片开发能为</w:t>
      </w:r>
      <w:r>
        <w:rPr>
          <w:rFonts w:hint="eastAsia" w:ascii="Times New Roman" w:hAnsi="Times New Roman"/>
          <w:lang w:eastAsia="zh-CN"/>
        </w:rPr>
        <w:t>北陡镇和赤溪镇</w:t>
      </w:r>
      <w:r>
        <w:rPr>
          <w:rFonts w:ascii="Times New Roman" w:hAnsi="Times New Roman"/>
          <w:lang w:eastAsia="zh-CN"/>
        </w:rPr>
        <w:t>带来较大的土地利用、经济、社会、生态效益</w:t>
      </w:r>
      <w:r>
        <w:rPr>
          <w:rFonts w:hint="eastAsia" w:ascii="Times New Roman" w:hAnsi="Times New Roman"/>
          <w:lang w:eastAsia="zh-CN"/>
        </w:rPr>
        <w:t>。</w:t>
      </w:r>
    </w:p>
    <w:p w14:paraId="15FB031F">
      <w:pPr>
        <w:pStyle w:val="4"/>
        <w:keepNext w:val="0"/>
        <w:keepLines w:val="0"/>
        <w:pageBreakBefore w:val="0"/>
        <w:kinsoku/>
        <w:wordWrap/>
        <w:overflowPunct/>
        <w:topLinePunct w:val="0"/>
        <w:bidi w:val="0"/>
        <w:adjustRightInd w:val="0"/>
        <w:snapToGrid w:val="0"/>
        <w:spacing w:line="500" w:lineRule="atLeast"/>
        <w:jc w:val="both"/>
        <w:textAlignment w:val="auto"/>
        <w:rPr>
          <w:rFonts w:ascii="Times New Roman" w:hAnsi="Times New Roman"/>
          <w:lang w:eastAsia="zh-CN"/>
        </w:rPr>
      </w:pPr>
    </w:p>
    <w:p w14:paraId="7DF27A71">
      <w:pPr>
        <w:pStyle w:val="4"/>
        <w:keepNext w:val="0"/>
        <w:keepLines w:val="0"/>
        <w:pageBreakBefore w:val="0"/>
        <w:kinsoku/>
        <w:wordWrap/>
        <w:overflowPunct/>
        <w:topLinePunct w:val="0"/>
        <w:bidi w:val="0"/>
        <w:adjustRightInd w:val="0"/>
        <w:snapToGrid w:val="0"/>
        <w:spacing w:line="500" w:lineRule="atLeast"/>
        <w:jc w:val="both"/>
        <w:textAlignment w:val="auto"/>
        <w:rPr>
          <w:rFonts w:ascii="Times New Roman" w:hAnsi="Times New Roman"/>
          <w:lang w:eastAsia="zh-CN"/>
        </w:rPr>
      </w:pPr>
      <w:bookmarkStart w:id="3" w:name="_GoBack"/>
      <w:bookmarkEnd w:id="3"/>
    </w:p>
    <w:p w14:paraId="598E7F64">
      <w:pPr>
        <w:pStyle w:val="4"/>
        <w:keepNext w:val="0"/>
        <w:keepLines w:val="0"/>
        <w:pageBreakBefore w:val="0"/>
        <w:kinsoku/>
        <w:wordWrap/>
        <w:overflowPunct/>
        <w:topLinePunct w:val="0"/>
        <w:bidi w:val="0"/>
        <w:adjustRightInd w:val="0"/>
        <w:snapToGrid w:val="0"/>
        <w:spacing w:line="500" w:lineRule="atLeast"/>
        <w:jc w:val="right"/>
        <w:textAlignment w:val="auto"/>
        <w:rPr>
          <w:rFonts w:ascii="Times New Roman" w:hAnsi="Times New Roman"/>
          <w:lang w:eastAsia="zh-CN"/>
        </w:rPr>
      </w:pPr>
    </w:p>
    <w:p w14:paraId="53961A0C">
      <w:pPr>
        <w:pStyle w:val="4"/>
        <w:keepNext w:val="0"/>
        <w:keepLines w:val="0"/>
        <w:pageBreakBefore w:val="0"/>
        <w:kinsoku/>
        <w:wordWrap/>
        <w:overflowPunct/>
        <w:topLinePunct w:val="0"/>
        <w:bidi w:val="0"/>
        <w:adjustRightInd w:val="0"/>
        <w:snapToGrid w:val="0"/>
        <w:spacing w:line="500" w:lineRule="atLeast"/>
        <w:jc w:val="right"/>
        <w:textAlignment w:val="auto"/>
        <w:rPr>
          <w:rFonts w:ascii="Times New Roman" w:hAnsi="Times New Roman"/>
          <w:lang w:eastAsia="zh-CN"/>
        </w:rPr>
      </w:pPr>
      <w:r>
        <w:rPr>
          <w:rFonts w:hint="eastAsia" w:ascii="Times New Roman" w:hAnsi="Times New Roman"/>
          <w:lang w:eastAsia="zh-CN"/>
        </w:rPr>
        <w:t>台山市自然资源局</w:t>
      </w:r>
    </w:p>
    <w:p w14:paraId="6D0128FA">
      <w:pPr>
        <w:pStyle w:val="4"/>
        <w:keepNext w:val="0"/>
        <w:keepLines w:val="0"/>
        <w:pageBreakBefore w:val="0"/>
        <w:kinsoku/>
        <w:wordWrap/>
        <w:overflowPunct/>
        <w:topLinePunct w:val="0"/>
        <w:bidi w:val="0"/>
        <w:adjustRightInd w:val="0"/>
        <w:snapToGrid w:val="0"/>
        <w:spacing w:line="500" w:lineRule="atLeast"/>
        <w:jc w:val="right"/>
        <w:textAlignment w:val="auto"/>
        <w:rPr>
          <w:rFonts w:ascii="Times New Roman" w:hAnsi="Times New Roman" w:cs="Times New Roman"/>
          <w:w w:val="99"/>
          <w:lang w:eastAsia="zh-CN"/>
        </w:rPr>
      </w:pPr>
      <w:r>
        <w:rPr>
          <w:rFonts w:hint="eastAsia" w:ascii="Times New Roman" w:hAnsi="Times New Roman"/>
          <w:lang w:eastAsia="zh-CN"/>
        </w:rPr>
        <w:t>2025年8月22日</w:t>
      </w:r>
    </w:p>
    <w:sectPr>
      <w:footerReference r:id="rId3" w:type="default"/>
      <w:pgSz w:w="11910" w:h="16840"/>
      <w:pgMar w:top="1440" w:right="1440" w:bottom="1440" w:left="1440" w:header="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29B35">
    <w:pPr>
      <w:pStyle w:val="4"/>
      <w:spacing w:line="14" w:lineRule="auto"/>
      <w:rPr>
        <w:rFonts w:hint="eastAsia"/>
        <w:sz w:val="20"/>
      </w:rPr>
    </w:pPr>
    <w:r>
      <mc:AlternateContent>
        <mc:Choice Requires="wps">
          <w:drawing>
            <wp:anchor distT="0" distB="0" distL="114300" distR="114300" simplePos="0" relativeHeight="251659264" behindDoc="1" locked="0" layoutInCell="1" allowOverlap="1">
              <wp:simplePos x="0" y="0"/>
              <wp:positionH relativeFrom="page">
                <wp:posOffset>3724910</wp:posOffset>
              </wp:positionH>
              <wp:positionV relativeFrom="page">
                <wp:posOffset>9921240</wp:posOffset>
              </wp:positionV>
              <wp:extent cx="109220" cy="153670"/>
              <wp:effectExtent l="635" t="0" r="4445" b="254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09220" cy="153670"/>
                      </a:xfrm>
                      <a:prstGeom prst="rect">
                        <a:avLst/>
                      </a:prstGeom>
                      <a:noFill/>
                      <a:ln>
                        <a:noFill/>
                      </a:ln>
                    </wps:spPr>
                    <wps:txbx>
                      <w:txbxContent>
                        <w:p w14:paraId="7FED1991">
                          <w:pPr>
                            <w:spacing w:before="14"/>
                            <w:ind w:left="40"/>
                            <w:rPr>
                              <w:rFonts w:hint="eastAsia" w:ascii="Times New Roman"/>
                              <w:sz w:val="18"/>
                            </w:rPr>
                          </w:pPr>
                          <w:r>
                            <w:fldChar w:fldCharType="begin"/>
                          </w:r>
                          <w:r>
                            <w:rPr>
                              <w:rFonts w:ascii="Times New Roman"/>
                              <w:w w:val="101"/>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3.3pt;margin-top:781.2pt;height:12.1pt;width:8.6pt;mso-position-horizontal-relative:page;mso-position-vertical-relative:page;z-index:-251657216;mso-width-relative:page;mso-height-relative:page;" filled="f" stroked="f" coordsize="21600,21600" o:gfxdata="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VgsENkAAAANAQAADwAAAAAAAAABACAAAAAiAAAAZHJzL2Rvd25yZXYu&#10;eG1sUEsBAhQAFAAAAAgAh07iQCBVMg36AQAAAwQAAA4AAAAAAAAAAQAgAAAAKAEAAGRycy9lMm9E&#10;b2MueG1sUEsFBgAAAAAGAAYAWQEAAJQFAAAAAA==&#10;">
              <v:fill on="f" focussize="0,0"/>
              <v:stroke on="f"/>
              <v:imagedata o:title=""/>
              <o:lock v:ext="edit" aspectratio="f"/>
              <v:textbox inset="0mm,0mm,0mm,0mm">
                <w:txbxContent>
                  <w:p w14:paraId="7FED1991">
                    <w:pPr>
                      <w:spacing w:before="14"/>
                      <w:ind w:left="40"/>
                      <w:rPr>
                        <w:rFonts w:hint="eastAsia" w:ascii="Times New Roman"/>
                        <w:sz w:val="18"/>
                      </w:rPr>
                    </w:pPr>
                    <w:r>
                      <w:fldChar w:fldCharType="begin"/>
                    </w:r>
                    <w:r>
                      <w:rPr>
                        <w:rFonts w:ascii="Times New Roman"/>
                        <w:w w:val="101"/>
                        <w:sz w:val="18"/>
                      </w:rPr>
                      <w:instrText xml:space="preserve"> PAGE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B1D"/>
    <w:rsid w:val="00043E77"/>
    <w:rsid w:val="000A45D4"/>
    <w:rsid w:val="000E6135"/>
    <w:rsid w:val="0014664A"/>
    <w:rsid w:val="00192832"/>
    <w:rsid w:val="00192F07"/>
    <w:rsid w:val="001C795F"/>
    <w:rsid w:val="001E426A"/>
    <w:rsid w:val="001F66FD"/>
    <w:rsid w:val="00207876"/>
    <w:rsid w:val="002B1011"/>
    <w:rsid w:val="003462DF"/>
    <w:rsid w:val="00381502"/>
    <w:rsid w:val="00393446"/>
    <w:rsid w:val="00393C5D"/>
    <w:rsid w:val="003B09BA"/>
    <w:rsid w:val="003F0B4F"/>
    <w:rsid w:val="003F7874"/>
    <w:rsid w:val="00434CB9"/>
    <w:rsid w:val="00435ADC"/>
    <w:rsid w:val="00442614"/>
    <w:rsid w:val="00443AE5"/>
    <w:rsid w:val="00565257"/>
    <w:rsid w:val="0059253D"/>
    <w:rsid w:val="005938F9"/>
    <w:rsid w:val="005A4CC3"/>
    <w:rsid w:val="005B110A"/>
    <w:rsid w:val="005E0A65"/>
    <w:rsid w:val="005E6954"/>
    <w:rsid w:val="00610F3B"/>
    <w:rsid w:val="0062200A"/>
    <w:rsid w:val="006369E9"/>
    <w:rsid w:val="006639BA"/>
    <w:rsid w:val="00664420"/>
    <w:rsid w:val="00665F37"/>
    <w:rsid w:val="0066763A"/>
    <w:rsid w:val="00687C7D"/>
    <w:rsid w:val="006A67EF"/>
    <w:rsid w:val="006E2CA2"/>
    <w:rsid w:val="006E6A89"/>
    <w:rsid w:val="00712E85"/>
    <w:rsid w:val="007476A6"/>
    <w:rsid w:val="007750EF"/>
    <w:rsid w:val="00796182"/>
    <w:rsid w:val="007A0204"/>
    <w:rsid w:val="007F72BF"/>
    <w:rsid w:val="00826EBD"/>
    <w:rsid w:val="00830828"/>
    <w:rsid w:val="008333F1"/>
    <w:rsid w:val="008A3D48"/>
    <w:rsid w:val="008B506D"/>
    <w:rsid w:val="00903B1D"/>
    <w:rsid w:val="00915DD0"/>
    <w:rsid w:val="009301E2"/>
    <w:rsid w:val="009717F3"/>
    <w:rsid w:val="009743B6"/>
    <w:rsid w:val="009B3ED8"/>
    <w:rsid w:val="009B75A5"/>
    <w:rsid w:val="009C6433"/>
    <w:rsid w:val="00A005CC"/>
    <w:rsid w:val="00A22ABC"/>
    <w:rsid w:val="00A44B96"/>
    <w:rsid w:val="00A73E41"/>
    <w:rsid w:val="00A828C6"/>
    <w:rsid w:val="00B02444"/>
    <w:rsid w:val="00B125FD"/>
    <w:rsid w:val="00B12AE1"/>
    <w:rsid w:val="00B42071"/>
    <w:rsid w:val="00B956EF"/>
    <w:rsid w:val="00B974F5"/>
    <w:rsid w:val="00BB0F6A"/>
    <w:rsid w:val="00BB3D63"/>
    <w:rsid w:val="00BC4A53"/>
    <w:rsid w:val="00BE3C8B"/>
    <w:rsid w:val="00BF2563"/>
    <w:rsid w:val="00C04AF6"/>
    <w:rsid w:val="00C218E7"/>
    <w:rsid w:val="00C46E86"/>
    <w:rsid w:val="00C77900"/>
    <w:rsid w:val="00CA068D"/>
    <w:rsid w:val="00CB73C3"/>
    <w:rsid w:val="00D32F08"/>
    <w:rsid w:val="00D3574B"/>
    <w:rsid w:val="00D54B33"/>
    <w:rsid w:val="00D54B6F"/>
    <w:rsid w:val="00D76A14"/>
    <w:rsid w:val="00DA4A2A"/>
    <w:rsid w:val="00DC0355"/>
    <w:rsid w:val="00E216FC"/>
    <w:rsid w:val="00E35C7C"/>
    <w:rsid w:val="00E53816"/>
    <w:rsid w:val="00E727BF"/>
    <w:rsid w:val="00EE4371"/>
    <w:rsid w:val="00F01D54"/>
    <w:rsid w:val="00F21BFD"/>
    <w:rsid w:val="00F21C44"/>
    <w:rsid w:val="00F62FC7"/>
    <w:rsid w:val="00F872D3"/>
    <w:rsid w:val="00F96855"/>
    <w:rsid w:val="00FD136B"/>
    <w:rsid w:val="00FF00DB"/>
    <w:rsid w:val="026551E3"/>
    <w:rsid w:val="041A176E"/>
    <w:rsid w:val="05613B3A"/>
    <w:rsid w:val="06A43D60"/>
    <w:rsid w:val="07742747"/>
    <w:rsid w:val="07C74677"/>
    <w:rsid w:val="0A5C6C10"/>
    <w:rsid w:val="10901624"/>
    <w:rsid w:val="112748B8"/>
    <w:rsid w:val="15005C48"/>
    <w:rsid w:val="152E2461"/>
    <w:rsid w:val="173B3A1A"/>
    <w:rsid w:val="1CBA09A7"/>
    <w:rsid w:val="1DEA5231"/>
    <w:rsid w:val="24AF69D9"/>
    <w:rsid w:val="26ED7129"/>
    <w:rsid w:val="29991976"/>
    <w:rsid w:val="29F80428"/>
    <w:rsid w:val="2C176FDF"/>
    <w:rsid w:val="31DE6252"/>
    <w:rsid w:val="370E7100"/>
    <w:rsid w:val="37C245EA"/>
    <w:rsid w:val="391825EC"/>
    <w:rsid w:val="3ACB495C"/>
    <w:rsid w:val="3BC94521"/>
    <w:rsid w:val="40766BC0"/>
    <w:rsid w:val="46896697"/>
    <w:rsid w:val="46A8490B"/>
    <w:rsid w:val="47A34A43"/>
    <w:rsid w:val="50594BF0"/>
    <w:rsid w:val="51D03CC1"/>
    <w:rsid w:val="551F2FAF"/>
    <w:rsid w:val="5B3E5798"/>
    <w:rsid w:val="5B856D01"/>
    <w:rsid w:val="5BCB45A3"/>
    <w:rsid w:val="637D0E81"/>
    <w:rsid w:val="639767EE"/>
    <w:rsid w:val="7573153F"/>
    <w:rsid w:val="763B0FC7"/>
    <w:rsid w:val="7AAF1337"/>
    <w:rsid w:val="7AB84BF9"/>
    <w:rsid w:val="7B71320F"/>
    <w:rsid w:val="7F621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2"/>
        <o:r id="V:Rule2"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_GB2312" w:hAnsi="仿宋_GB2312" w:eastAsia="仿宋_GB2312" w:cs="仿宋_GB2312"/>
      <w:sz w:val="22"/>
      <w:szCs w:val="22"/>
      <w:lang w:val="en-US" w:eastAsia="en-US" w:bidi="ar-SA"/>
    </w:rPr>
  </w:style>
  <w:style w:type="paragraph" w:styleId="2">
    <w:name w:val="heading 1"/>
    <w:basedOn w:val="1"/>
    <w:next w:val="1"/>
    <w:qFormat/>
    <w:uiPriority w:val="9"/>
    <w:pPr>
      <w:spacing w:before="47"/>
      <w:ind w:left="120"/>
      <w:outlineLvl w:val="0"/>
    </w:pPr>
    <w:rPr>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qFormat/>
    <w:uiPriority w:val="0"/>
    <w:pPr>
      <w:autoSpaceDE/>
      <w:autoSpaceDN/>
      <w:ind w:left="1260"/>
    </w:pPr>
    <w:rPr>
      <w:rFonts w:asciiTheme="minorHAnsi" w:hAnsiTheme="minorHAnsi" w:eastAsiaTheme="minorEastAsia" w:cstheme="minorHAnsi"/>
      <w:kern w:val="2"/>
      <w:sz w:val="18"/>
      <w:szCs w:val="18"/>
      <w:lang w:eastAsia="zh-CN"/>
    </w:rPr>
  </w:style>
  <w:style w:type="paragraph" w:styleId="4">
    <w:name w:val="Body Text"/>
    <w:basedOn w:val="1"/>
    <w:qFormat/>
    <w:uiPriority w:val="1"/>
    <w:rPr>
      <w:sz w:val="28"/>
      <w:szCs w:val="28"/>
    </w:rPr>
  </w:style>
  <w:style w:type="paragraph" w:styleId="5">
    <w:name w:val="Date"/>
    <w:basedOn w:val="1"/>
    <w:next w:val="1"/>
    <w:link w:val="18"/>
    <w:semiHidden/>
    <w:unhideWhenUsed/>
    <w:uiPriority w:val="99"/>
    <w:pPr>
      <w:ind w:left="100" w:leftChars="2500"/>
    </w:p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style>
  <w:style w:type="paragraph" w:customStyle="1" w:styleId="14">
    <w:name w:val="Table Paragraph"/>
    <w:basedOn w:val="1"/>
    <w:qFormat/>
    <w:uiPriority w:val="1"/>
    <w:pPr>
      <w:ind w:left="153" w:right="134"/>
      <w:jc w:val="center"/>
    </w:pPr>
  </w:style>
  <w:style w:type="character" w:customStyle="1" w:styleId="15">
    <w:name w:val="页眉 字符"/>
    <w:basedOn w:val="10"/>
    <w:link w:val="8"/>
    <w:qFormat/>
    <w:uiPriority w:val="99"/>
    <w:rPr>
      <w:rFonts w:ascii="仿宋_GB2312" w:hAnsi="仿宋_GB2312" w:eastAsia="仿宋_GB2312" w:cs="仿宋_GB2312"/>
      <w:sz w:val="18"/>
      <w:szCs w:val="18"/>
    </w:rPr>
  </w:style>
  <w:style w:type="character" w:customStyle="1" w:styleId="16">
    <w:name w:val="页脚 字符"/>
    <w:basedOn w:val="10"/>
    <w:link w:val="7"/>
    <w:uiPriority w:val="99"/>
    <w:rPr>
      <w:rFonts w:ascii="仿宋_GB2312" w:hAnsi="仿宋_GB2312" w:eastAsia="仿宋_GB2312" w:cs="仿宋_GB2312"/>
      <w:sz w:val="18"/>
      <w:szCs w:val="18"/>
    </w:rPr>
  </w:style>
  <w:style w:type="character" w:customStyle="1" w:styleId="17">
    <w:name w:val="批注框文本 字符"/>
    <w:basedOn w:val="10"/>
    <w:link w:val="6"/>
    <w:semiHidden/>
    <w:qFormat/>
    <w:uiPriority w:val="99"/>
    <w:rPr>
      <w:rFonts w:ascii="仿宋_GB2312" w:hAnsi="仿宋_GB2312" w:eastAsia="仿宋_GB2312" w:cs="仿宋_GB2312"/>
      <w:sz w:val="18"/>
      <w:szCs w:val="18"/>
    </w:rPr>
  </w:style>
  <w:style w:type="character" w:customStyle="1" w:styleId="18">
    <w:name w:val="日期 字符"/>
    <w:basedOn w:val="10"/>
    <w:link w:val="5"/>
    <w:semiHidden/>
    <w:qFormat/>
    <w:uiPriority w:val="99"/>
    <w:rPr>
      <w:rFonts w:ascii="仿宋_GB2312" w:hAnsi="仿宋_GB2312" w:eastAsia="仿宋_GB2312" w:cs="仿宋_GB2312"/>
      <w:sz w:val="22"/>
      <w:szCs w:val="22"/>
      <w:lang w:eastAsia="en-US"/>
    </w:rPr>
  </w:style>
  <w:style w:type="character" w:customStyle="1" w:styleId="19">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2051"/>
    <customShpInfo spid="_x0000_s2052"/>
    <customShpInfo spid="_x0000_s2053"/>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702FDE-0750-47B3-81D0-D6CB3BA5D483}">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2186</Words>
  <Characters>2378</Characters>
  <Lines>17</Lines>
  <Paragraphs>4</Paragraphs>
  <TotalTime>0</TotalTime>
  <ScaleCrop>false</ScaleCrop>
  <LinksUpToDate>false</LinksUpToDate>
  <CharactersWithSpaces>2383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2022-08-19T08:00:00Z</dcterms:created>
  <dc:creator>丶   Jino</dc:creator>
  <cp:lastModifiedBy>35</cp:lastModifiedBy>
  <dcterms:modified xsi:type="dcterms:W3CDTF">2025-08-26T00:58:37Z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2021-08-09T00:00:00Z</vt:filetime>
  </property>
  <property fmtid="{D5CDD505-2E9C-101B-9397-08002B2CF9AE}" pid="3" name="Creator">
    <vt:lpwstr>Microsoft® Word 2010</vt:lpwstr>
  </property>
  <property fmtid="{D5CDD505-2E9C-101B-9397-08002B2CF9AE}" pid="4" name="LastSaved">
    <vt:filetime>2021-08-12T00:00:00Z</vt:filetime>
  </property>
  <property fmtid="{D5CDD505-2E9C-101B-9397-08002B2CF9AE}" pid="5" name="KSOProductBuildVer">
    <vt:lpwstr>2052-12.1.0.22529</vt:lpwstr>
  </property>
  <property fmtid="{D5CDD505-2E9C-101B-9397-08002B2CF9AE}" pid="6" name="ICV">
    <vt:lpwstr>A992C9BE982A48A19F9FF3BBD526CF37</vt:lpwstr>
  </property>
  <property fmtid="{D5CDD505-2E9C-101B-9397-08002B2CF9AE}" pid="7" name="KSOTemplateDocerSaveRecord">
    <vt:lpwstr>eyJoZGlkIjoiMTE3YjE4MzdhMjk2YjgwMDZhMWQ5YjlhNTgxZTIwMjMiLCJ1c2VySWQiOiIyNTExNjAyNjcifQ==</vt:lpwstr>
  </property>
</Properties>
</file>