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0"/>
          <w:szCs w:val="44"/>
        </w:rPr>
      </w:pPr>
      <w:r>
        <w:rPr>
          <w:rFonts w:hint="eastAsia" w:ascii="方正小标宋简体" w:eastAsia="方正小标宋简体"/>
          <w:sz w:val="40"/>
          <w:szCs w:val="44"/>
        </w:rPr>
        <w:t>（七）公共法律服务领域基层政务公开标准目录</w:t>
      </w:r>
    </w:p>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708"/>
        <w:gridCol w:w="3544"/>
        <w:gridCol w:w="1134"/>
        <w:gridCol w:w="1276"/>
        <w:gridCol w:w="1193"/>
        <w:gridCol w:w="650"/>
        <w:gridCol w:w="1100"/>
        <w:gridCol w:w="867"/>
        <w:gridCol w:w="600"/>
        <w:gridCol w:w="633"/>
        <w:gridCol w:w="627"/>
        <w:gridCol w:w="709"/>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vAlign w:val="center"/>
          </w:tcPr>
          <w:p>
            <w:pPr>
              <w:jc w:val="center"/>
              <w:rPr>
                <w:rFonts w:ascii="黑体" w:hAnsi="黑体" w:eastAsia="黑体" w:cs="黑体"/>
              </w:rPr>
            </w:pPr>
            <w:r>
              <w:rPr>
                <w:rFonts w:hint="eastAsia" w:ascii="黑体" w:hAnsi="黑体" w:eastAsia="黑体" w:cs="黑体"/>
              </w:rPr>
              <w:t>序号</w:t>
            </w:r>
          </w:p>
        </w:tc>
        <w:tc>
          <w:tcPr>
            <w:tcW w:w="4252" w:type="dxa"/>
            <w:gridSpan w:val="2"/>
            <w:vAlign w:val="center"/>
          </w:tcPr>
          <w:p>
            <w:pPr>
              <w:jc w:val="center"/>
              <w:rPr>
                <w:rFonts w:ascii="黑体" w:hAnsi="黑体" w:eastAsia="黑体" w:cs="黑体"/>
              </w:rPr>
            </w:pPr>
            <w:r>
              <w:rPr>
                <w:rFonts w:hint="eastAsia" w:ascii="黑体" w:hAnsi="黑体" w:eastAsia="黑体" w:cs="黑体"/>
              </w:rPr>
              <w:t>公开事项</w:t>
            </w:r>
          </w:p>
        </w:tc>
        <w:tc>
          <w:tcPr>
            <w:tcW w:w="1134" w:type="dxa"/>
            <w:vMerge w:val="restart"/>
            <w:vAlign w:val="center"/>
          </w:tcPr>
          <w:p>
            <w:pPr>
              <w:jc w:val="center"/>
              <w:rPr>
                <w:rFonts w:ascii="黑体" w:hAnsi="黑体" w:eastAsia="黑体" w:cs="黑体"/>
              </w:rPr>
            </w:pPr>
            <w:r>
              <w:rPr>
                <w:rFonts w:hint="eastAsia" w:ascii="黑体" w:hAnsi="黑体" w:eastAsia="黑体" w:cs="黑体"/>
              </w:rPr>
              <w:t>公开内容（要素）</w:t>
            </w:r>
          </w:p>
        </w:tc>
        <w:tc>
          <w:tcPr>
            <w:tcW w:w="1276" w:type="dxa"/>
            <w:vMerge w:val="restart"/>
            <w:vAlign w:val="center"/>
          </w:tcPr>
          <w:p>
            <w:pPr>
              <w:jc w:val="center"/>
              <w:rPr>
                <w:rFonts w:ascii="黑体" w:hAnsi="黑体" w:eastAsia="黑体" w:cs="黑体"/>
              </w:rPr>
            </w:pPr>
            <w:r>
              <w:rPr>
                <w:rFonts w:hint="eastAsia" w:ascii="黑体" w:hAnsi="黑体" w:eastAsia="黑体" w:cs="黑体"/>
              </w:rPr>
              <w:t>公开依据</w:t>
            </w:r>
          </w:p>
        </w:tc>
        <w:tc>
          <w:tcPr>
            <w:tcW w:w="1193" w:type="dxa"/>
            <w:vMerge w:val="restart"/>
            <w:vAlign w:val="center"/>
          </w:tcPr>
          <w:p>
            <w:pPr>
              <w:jc w:val="center"/>
              <w:rPr>
                <w:rFonts w:ascii="黑体" w:hAnsi="黑体" w:eastAsia="黑体" w:cs="黑体"/>
              </w:rPr>
            </w:pPr>
            <w:r>
              <w:rPr>
                <w:rFonts w:hint="eastAsia" w:ascii="黑体" w:hAnsi="黑体" w:eastAsia="黑体" w:cs="黑体"/>
              </w:rPr>
              <w:t>公开时限</w:t>
            </w:r>
          </w:p>
        </w:tc>
        <w:tc>
          <w:tcPr>
            <w:tcW w:w="650" w:type="dxa"/>
            <w:vMerge w:val="restart"/>
            <w:vAlign w:val="center"/>
          </w:tcPr>
          <w:p>
            <w:pPr>
              <w:jc w:val="center"/>
              <w:rPr>
                <w:rFonts w:ascii="黑体" w:hAnsi="黑体" w:eastAsia="黑体" w:cs="黑体"/>
              </w:rPr>
            </w:pPr>
            <w:r>
              <w:rPr>
                <w:rFonts w:hint="eastAsia" w:ascii="黑体" w:hAnsi="黑体" w:eastAsia="黑体" w:cs="黑体"/>
              </w:rPr>
              <w:t>公开</w:t>
            </w:r>
          </w:p>
          <w:p>
            <w:pPr>
              <w:jc w:val="center"/>
              <w:rPr>
                <w:rFonts w:ascii="黑体" w:hAnsi="黑体" w:eastAsia="黑体" w:cs="黑体"/>
              </w:rPr>
            </w:pPr>
            <w:r>
              <w:rPr>
                <w:rFonts w:hint="eastAsia" w:ascii="黑体" w:hAnsi="黑体" w:eastAsia="黑体" w:cs="黑体"/>
              </w:rPr>
              <w:t>主体</w:t>
            </w:r>
          </w:p>
        </w:tc>
        <w:tc>
          <w:tcPr>
            <w:tcW w:w="1100" w:type="dxa"/>
            <w:vMerge w:val="restart"/>
            <w:vAlign w:val="center"/>
          </w:tcPr>
          <w:p>
            <w:pPr>
              <w:jc w:val="center"/>
              <w:rPr>
                <w:rFonts w:ascii="黑体" w:hAnsi="黑体" w:eastAsia="黑体" w:cs="黑体"/>
              </w:rPr>
            </w:pPr>
            <w:r>
              <w:rPr>
                <w:rFonts w:hint="eastAsia" w:ascii="黑体" w:hAnsi="黑体" w:eastAsia="黑体" w:cs="黑体"/>
              </w:rPr>
              <w:t>公开渠道和载体</w:t>
            </w:r>
          </w:p>
        </w:tc>
        <w:tc>
          <w:tcPr>
            <w:tcW w:w="1467" w:type="dxa"/>
            <w:gridSpan w:val="2"/>
            <w:vAlign w:val="center"/>
          </w:tcPr>
          <w:p>
            <w:pPr>
              <w:jc w:val="center"/>
              <w:rPr>
                <w:rFonts w:ascii="黑体" w:hAnsi="黑体" w:eastAsia="黑体" w:cs="黑体"/>
                <w:color w:val="000000"/>
                <w:sz w:val="18"/>
                <w:szCs w:val="18"/>
              </w:rPr>
            </w:pPr>
            <w:r>
              <w:rPr>
                <w:rFonts w:hint="eastAsia" w:ascii="黑体" w:hAnsi="黑体" w:eastAsia="黑体" w:cs="黑体"/>
                <w:color w:val="000000"/>
                <w:sz w:val="18"/>
                <w:szCs w:val="18"/>
              </w:rPr>
              <w:t>公开对象</w:t>
            </w:r>
          </w:p>
        </w:tc>
        <w:tc>
          <w:tcPr>
            <w:tcW w:w="1260" w:type="dxa"/>
            <w:gridSpan w:val="2"/>
            <w:vAlign w:val="center"/>
          </w:tcPr>
          <w:p>
            <w:pPr>
              <w:jc w:val="center"/>
              <w:rPr>
                <w:rFonts w:ascii="黑体" w:hAnsi="黑体" w:eastAsia="黑体" w:cs="黑体"/>
              </w:rPr>
            </w:pPr>
            <w:r>
              <w:rPr>
                <w:rFonts w:hint="eastAsia" w:ascii="黑体" w:hAnsi="黑体" w:eastAsia="黑体" w:cs="黑体"/>
                <w:color w:val="000000"/>
                <w:sz w:val="18"/>
                <w:szCs w:val="18"/>
              </w:rPr>
              <w:t>公开方式</w:t>
            </w:r>
          </w:p>
        </w:tc>
        <w:tc>
          <w:tcPr>
            <w:tcW w:w="1417" w:type="dxa"/>
            <w:gridSpan w:val="2"/>
            <w:vAlign w:val="center"/>
          </w:tcPr>
          <w:p>
            <w:pPr>
              <w:jc w:val="center"/>
              <w:rPr>
                <w:rFonts w:ascii="黑体" w:hAnsi="黑体" w:eastAsia="黑体" w:cs="黑体"/>
              </w:rPr>
            </w:pPr>
            <w:r>
              <w:rPr>
                <w:rFonts w:hint="eastAsia" w:ascii="黑体" w:hAnsi="黑体" w:eastAsia="黑体" w:cs="黑体"/>
                <w:color w:val="000000"/>
                <w:sz w:val="18"/>
                <w:szCs w:val="18"/>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pPr>
              <w:jc w:val="center"/>
              <w:rPr>
                <w:rFonts w:ascii="黑体" w:hAnsi="黑体" w:eastAsia="黑体" w:cs="黑体"/>
              </w:rPr>
            </w:pPr>
          </w:p>
        </w:tc>
        <w:tc>
          <w:tcPr>
            <w:tcW w:w="708" w:type="dxa"/>
            <w:vAlign w:val="center"/>
          </w:tcPr>
          <w:p>
            <w:pPr>
              <w:jc w:val="center"/>
              <w:rPr>
                <w:rFonts w:ascii="黑体" w:hAnsi="黑体" w:eastAsia="黑体" w:cs="黑体"/>
                <w:color w:val="000000"/>
                <w:sz w:val="18"/>
                <w:szCs w:val="18"/>
              </w:rPr>
            </w:pPr>
            <w:r>
              <w:rPr>
                <w:rFonts w:hint="eastAsia" w:ascii="黑体" w:hAnsi="黑体" w:eastAsia="黑体" w:cs="黑体"/>
                <w:color w:val="000000"/>
                <w:sz w:val="18"/>
                <w:szCs w:val="18"/>
              </w:rPr>
              <w:t>一级事项</w:t>
            </w:r>
          </w:p>
        </w:tc>
        <w:tc>
          <w:tcPr>
            <w:tcW w:w="3544" w:type="dxa"/>
            <w:vAlign w:val="center"/>
          </w:tcPr>
          <w:p>
            <w:pPr>
              <w:jc w:val="center"/>
              <w:rPr>
                <w:rFonts w:ascii="黑体" w:hAnsi="黑体" w:eastAsia="黑体" w:cs="黑体"/>
                <w:color w:val="000000"/>
                <w:sz w:val="18"/>
                <w:szCs w:val="18"/>
              </w:rPr>
            </w:pPr>
            <w:r>
              <w:rPr>
                <w:rFonts w:hint="eastAsia" w:ascii="黑体" w:hAnsi="黑体" w:eastAsia="黑体" w:cs="黑体"/>
                <w:color w:val="000000"/>
                <w:sz w:val="18"/>
                <w:szCs w:val="18"/>
              </w:rPr>
              <w:t>二级事项</w:t>
            </w:r>
          </w:p>
        </w:tc>
        <w:tc>
          <w:tcPr>
            <w:tcW w:w="1134" w:type="dxa"/>
            <w:vMerge w:val="continue"/>
            <w:vAlign w:val="center"/>
          </w:tcPr>
          <w:p>
            <w:pPr>
              <w:jc w:val="center"/>
              <w:rPr>
                <w:rFonts w:ascii="黑体" w:hAnsi="黑体" w:eastAsia="黑体" w:cs="黑体"/>
              </w:rPr>
            </w:pPr>
          </w:p>
        </w:tc>
        <w:tc>
          <w:tcPr>
            <w:tcW w:w="1276" w:type="dxa"/>
            <w:vMerge w:val="continue"/>
            <w:vAlign w:val="center"/>
          </w:tcPr>
          <w:p>
            <w:pPr>
              <w:jc w:val="center"/>
              <w:rPr>
                <w:rFonts w:ascii="黑体" w:hAnsi="黑体" w:eastAsia="黑体" w:cs="黑体"/>
              </w:rPr>
            </w:pPr>
          </w:p>
        </w:tc>
        <w:tc>
          <w:tcPr>
            <w:tcW w:w="1193" w:type="dxa"/>
            <w:vMerge w:val="continue"/>
            <w:vAlign w:val="center"/>
          </w:tcPr>
          <w:p>
            <w:pPr>
              <w:jc w:val="center"/>
              <w:rPr>
                <w:rFonts w:ascii="黑体" w:hAnsi="黑体" w:eastAsia="黑体" w:cs="黑体"/>
              </w:rPr>
            </w:pPr>
          </w:p>
        </w:tc>
        <w:tc>
          <w:tcPr>
            <w:tcW w:w="650" w:type="dxa"/>
            <w:vMerge w:val="continue"/>
            <w:vAlign w:val="center"/>
          </w:tcPr>
          <w:p>
            <w:pPr>
              <w:jc w:val="center"/>
              <w:rPr>
                <w:rFonts w:ascii="黑体" w:hAnsi="黑体" w:eastAsia="黑体" w:cs="黑体"/>
              </w:rPr>
            </w:pPr>
          </w:p>
        </w:tc>
        <w:tc>
          <w:tcPr>
            <w:tcW w:w="1100" w:type="dxa"/>
            <w:vMerge w:val="continue"/>
            <w:vAlign w:val="center"/>
          </w:tcPr>
          <w:p>
            <w:pPr>
              <w:jc w:val="center"/>
              <w:rPr>
                <w:rFonts w:ascii="黑体" w:hAnsi="黑体" w:eastAsia="黑体" w:cs="黑体"/>
              </w:rPr>
            </w:pPr>
          </w:p>
        </w:tc>
        <w:tc>
          <w:tcPr>
            <w:tcW w:w="867" w:type="dxa"/>
            <w:vAlign w:val="center"/>
          </w:tcPr>
          <w:p>
            <w:pPr>
              <w:jc w:val="center"/>
              <w:rPr>
                <w:rFonts w:ascii="黑体" w:hAnsi="黑体" w:eastAsia="黑体" w:cs="黑体"/>
                <w:color w:val="000000"/>
                <w:sz w:val="18"/>
                <w:szCs w:val="18"/>
              </w:rPr>
            </w:pPr>
            <w:r>
              <w:rPr>
                <w:rFonts w:hint="eastAsia" w:ascii="黑体" w:hAnsi="黑体" w:eastAsia="黑体" w:cs="黑体"/>
                <w:color w:val="000000"/>
                <w:sz w:val="18"/>
                <w:szCs w:val="18"/>
              </w:rPr>
              <w:t>全社会</w:t>
            </w:r>
          </w:p>
        </w:tc>
        <w:tc>
          <w:tcPr>
            <w:tcW w:w="600" w:type="dxa"/>
            <w:vAlign w:val="center"/>
          </w:tcPr>
          <w:p>
            <w:pPr>
              <w:jc w:val="center"/>
              <w:rPr>
                <w:rFonts w:ascii="黑体" w:hAnsi="黑体" w:eastAsia="黑体" w:cs="黑体"/>
                <w:color w:val="000000"/>
                <w:sz w:val="18"/>
                <w:szCs w:val="18"/>
              </w:rPr>
            </w:pPr>
            <w:r>
              <w:rPr>
                <w:rFonts w:hint="eastAsia" w:ascii="黑体" w:hAnsi="黑体" w:eastAsia="黑体" w:cs="黑体"/>
                <w:color w:val="000000"/>
                <w:sz w:val="18"/>
                <w:szCs w:val="18"/>
              </w:rPr>
              <w:t>特定群众</w:t>
            </w:r>
          </w:p>
        </w:tc>
        <w:tc>
          <w:tcPr>
            <w:tcW w:w="633" w:type="dxa"/>
            <w:vAlign w:val="center"/>
          </w:tcPr>
          <w:p>
            <w:pPr>
              <w:jc w:val="center"/>
              <w:rPr>
                <w:rFonts w:ascii="黑体" w:hAnsi="黑体" w:eastAsia="黑体" w:cs="黑体"/>
                <w:color w:val="000000"/>
                <w:sz w:val="18"/>
                <w:szCs w:val="18"/>
              </w:rPr>
            </w:pPr>
            <w:r>
              <w:rPr>
                <w:rFonts w:hint="eastAsia" w:ascii="黑体" w:hAnsi="黑体" w:eastAsia="黑体" w:cs="黑体"/>
                <w:color w:val="000000"/>
                <w:sz w:val="18"/>
                <w:szCs w:val="18"/>
              </w:rPr>
              <w:t>主动</w:t>
            </w:r>
          </w:p>
        </w:tc>
        <w:tc>
          <w:tcPr>
            <w:tcW w:w="627" w:type="dxa"/>
            <w:vAlign w:val="center"/>
          </w:tcPr>
          <w:p>
            <w:pPr>
              <w:jc w:val="center"/>
              <w:rPr>
                <w:rFonts w:ascii="黑体" w:hAnsi="黑体" w:eastAsia="黑体" w:cs="黑体"/>
                <w:color w:val="000000"/>
                <w:sz w:val="18"/>
                <w:szCs w:val="18"/>
              </w:rPr>
            </w:pPr>
            <w:r>
              <w:rPr>
                <w:rFonts w:hint="eastAsia" w:ascii="黑体" w:hAnsi="黑体" w:eastAsia="黑体" w:cs="黑体"/>
                <w:color w:val="000000"/>
                <w:sz w:val="18"/>
                <w:szCs w:val="18"/>
              </w:rPr>
              <w:t>依申请公开</w:t>
            </w:r>
          </w:p>
        </w:tc>
        <w:tc>
          <w:tcPr>
            <w:tcW w:w="709" w:type="dxa"/>
            <w:vAlign w:val="center"/>
          </w:tcPr>
          <w:p>
            <w:pPr>
              <w:jc w:val="center"/>
              <w:rPr>
                <w:rFonts w:ascii="黑体" w:hAnsi="黑体" w:eastAsia="黑体" w:cs="黑体"/>
                <w:color w:val="000000"/>
                <w:sz w:val="18"/>
                <w:szCs w:val="18"/>
              </w:rPr>
            </w:pPr>
            <w:r>
              <w:rPr>
                <w:rFonts w:hint="eastAsia" w:ascii="黑体" w:hAnsi="黑体" w:eastAsia="黑体" w:cs="黑体"/>
                <w:color w:val="000000"/>
                <w:sz w:val="18"/>
                <w:szCs w:val="18"/>
              </w:rPr>
              <w:t>镇级</w:t>
            </w:r>
          </w:p>
        </w:tc>
        <w:tc>
          <w:tcPr>
            <w:tcW w:w="708" w:type="dxa"/>
            <w:vAlign w:val="center"/>
          </w:tcPr>
          <w:p>
            <w:pPr>
              <w:jc w:val="center"/>
              <w:rPr>
                <w:rFonts w:ascii="黑体" w:hAnsi="黑体" w:eastAsia="黑体" w:cs="黑体"/>
                <w:color w:val="000000"/>
                <w:sz w:val="18"/>
                <w:szCs w:val="18"/>
              </w:rPr>
            </w:pPr>
            <w:r>
              <w:rPr>
                <w:rFonts w:hint="eastAsia" w:ascii="黑体" w:hAnsi="黑体" w:eastAsia="黑体" w:cs="黑体"/>
                <w:color w:val="000000"/>
                <w:sz w:val="18"/>
                <w:szCs w:val="18"/>
              </w:rPr>
              <w:t>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13</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法治宣传教育</w:t>
            </w:r>
          </w:p>
        </w:tc>
        <w:tc>
          <w:tcPr>
            <w:tcW w:w="3544" w:type="dxa"/>
            <w:vAlign w:val="center"/>
          </w:tcPr>
          <w:p>
            <w:pPr>
              <w:jc w:val="left"/>
              <w:rPr>
                <w:rFonts w:ascii="宋体" w:hAnsi="宋体" w:eastAsia="宋体" w:cs="宋体"/>
                <w:sz w:val="18"/>
                <w:szCs w:val="18"/>
              </w:rPr>
            </w:pPr>
            <w:r>
              <w:rPr>
                <w:rFonts w:hint="eastAsia" w:ascii="宋体" w:hAnsi="宋体" w:eastAsia="宋体"/>
                <w:sz w:val="18"/>
                <w:szCs w:val="18"/>
              </w:rPr>
              <w:t>法律知识普及服务</w:t>
            </w:r>
          </w:p>
        </w:tc>
        <w:tc>
          <w:tcPr>
            <w:tcW w:w="1134" w:type="dxa"/>
            <w:vAlign w:val="center"/>
          </w:tcPr>
          <w:p>
            <w:pPr>
              <w:jc w:val="left"/>
              <w:rPr>
                <w:rFonts w:ascii="宋体" w:hAnsi="宋体" w:eastAsia="宋体" w:cs="宋体"/>
                <w:sz w:val="18"/>
                <w:szCs w:val="18"/>
              </w:rPr>
            </w:pPr>
            <w:r>
              <w:rPr>
                <w:rFonts w:hint="eastAsia" w:ascii="宋体" w:hAnsi="宋体" w:eastAsia="宋体"/>
                <w:sz w:val="18"/>
                <w:szCs w:val="18"/>
              </w:rPr>
              <w:t>法律法规资讯；普法动态资讯；普法讲师团信息等</w:t>
            </w:r>
          </w:p>
        </w:tc>
        <w:tc>
          <w:tcPr>
            <w:tcW w:w="1276" w:type="dxa"/>
            <w:vAlign w:val="center"/>
          </w:tcPr>
          <w:p>
            <w:pPr>
              <w:jc w:val="left"/>
              <w:rPr>
                <w:rFonts w:ascii="宋体" w:hAnsi="宋体" w:eastAsia="宋体" w:cs="宋体"/>
                <w:sz w:val="18"/>
                <w:szCs w:val="18"/>
              </w:rPr>
            </w:pPr>
            <w:r>
              <w:rPr>
                <w:rFonts w:hint="eastAsia" w:ascii="宋体" w:hAnsi="宋体" w:eastAsia="宋体"/>
                <w:sz w:val="18"/>
                <w:szCs w:val="18"/>
              </w:rPr>
              <w:t>《中共中央、国务院转发&lt;中央宣传部、司法部关于在公民中开展法治宣传教育的第七个五年规划（2016－2020年）&gt;》、各省“七五”普法规划</w:t>
            </w:r>
          </w:p>
        </w:tc>
        <w:tc>
          <w:tcPr>
            <w:tcW w:w="1193" w:type="dxa"/>
            <w:vAlign w:val="center"/>
          </w:tcPr>
          <w:p>
            <w:pPr>
              <w:jc w:val="left"/>
              <w:rPr>
                <w:rFonts w:ascii="宋体" w:hAnsi="宋体" w:eastAsia="宋体" w:cs="宋体"/>
                <w:sz w:val="18"/>
                <w:szCs w:val="18"/>
              </w:rPr>
            </w:pPr>
            <w:r>
              <w:rPr>
                <w:rFonts w:hint="eastAsia" w:ascii="宋体" w:hAnsi="宋体" w:eastAsia="宋体"/>
                <w:sz w:val="18"/>
                <w:szCs w:val="18"/>
              </w:rPr>
              <w:t>自制作或获取该信息之日起20个工作日内公开</w:t>
            </w:r>
          </w:p>
        </w:tc>
        <w:tc>
          <w:tcPr>
            <w:tcW w:w="650" w:type="dxa"/>
            <w:vAlign w:val="center"/>
          </w:tcPr>
          <w:p>
            <w:pPr>
              <w:jc w:val="left"/>
              <w:rPr>
                <w:rFonts w:hint="default" w:ascii="宋体" w:hAnsi="宋体" w:eastAsia="宋体" w:cs="宋体"/>
                <w:sz w:val="18"/>
                <w:szCs w:val="18"/>
                <w:lang w:val="en-US" w:eastAsia="zh-CN"/>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sz w:val="18"/>
                <w:szCs w:val="18"/>
              </w:rPr>
            </w:pPr>
            <w:r>
              <w:rPr>
                <w:rFonts w:hint="eastAsia" w:ascii="宋体" w:hAnsi="宋体" w:eastAsia="宋体"/>
                <w:sz w:val="18"/>
                <w:szCs w:val="18"/>
              </w:rPr>
              <w:t>√</w:t>
            </w:r>
          </w:p>
        </w:tc>
        <w:tc>
          <w:tcPr>
            <w:tcW w:w="600" w:type="dxa"/>
            <w:vAlign w:val="center"/>
          </w:tcPr>
          <w:p>
            <w:pPr>
              <w:jc w:val="center"/>
              <w:rPr>
                <w:rFonts w:ascii="宋体" w:hAnsi="宋体" w:eastAsia="宋体" w:cs="宋体"/>
                <w:color w:val="FF0000"/>
                <w:sz w:val="18"/>
                <w:szCs w:val="18"/>
              </w:rPr>
            </w:pP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14</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法治宣传教育</w:t>
            </w:r>
          </w:p>
        </w:tc>
        <w:tc>
          <w:tcPr>
            <w:tcW w:w="3544" w:type="dxa"/>
            <w:vAlign w:val="center"/>
          </w:tcPr>
          <w:p>
            <w:pPr>
              <w:jc w:val="left"/>
              <w:rPr>
                <w:rFonts w:ascii="宋体" w:hAnsi="宋体" w:eastAsia="宋体" w:cs="宋体"/>
                <w:sz w:val="18"/>
                <w:szCs w:val="18"/>
              </w:rPr>
            </w:pPr>
            <w:r>
              <w:rPr>
                <w:rFonts w:hint="eastAsia" w:ascii="宋体" w:hAnsi="宋体" w:eastAsia="宋体"/>
                <w:sz w:val="18"/>
                <w:szCs w:val="18"/>
              </w:rPr>
              <w:t>推广法治文化服务</w:t>
            </w:r>
          </w:p>
        </w:tc>
        <w:tc>
          <w:tcPr>
            <w:tcW w:w="1134" w:type="dxa"/>
            <w:vAlign w:val="center"/>
          </w:tcPr>
          <w:p>
            <w:pPr>
              <w:jc w:val="left"/>
              <w:rPr>
                <w:rFonts w:ascii="宋体" w:hAnsi="宋体" w:eastAsia="宋体" w:cs="宋体"/>
                <w:sz w:val="18"/>
                <w:szCs w:val="18"/>
              </w:rPr>
            </w:pPr>
            <w:r>
              <w:rPr>
                <w:rFonts w:hint="eastAsia" w:ascii="宋体" w:hAnsi="宋体" w:eastAsia="宋体"/>
                <w:sz w:val="18"/>
                <w:szCs w:val="18"/>
              </w:rPr>
              <w:t>辖区内法治文化阵地信息；法治文化作品、产品</w:t>
            </w:r>
          </w:p>
        </w:tc>
        <w:tc>
          <w:tcPr>
            <w:tcW w:w="1276" w:type="dxa"/>
            <w:vAlign w:val="center"/>
          </w:tcPr>
          <w:p>
            <w:pPr>
              <w:jc w:val="left"/>
              <w:rPr>
                <w:rFonts w:ascii="宋体" w:hAnsi="宋体" w:eastAsia="宋体" w:cs="宋体"/>
                <w:sz w:val="18"/>
                <w:szCs w:val="18"/>
              </w:rPr>
            </w:pPr>
            <w:r>
              <w:rPr>
                <w:rFonts w:hint="eastAsia" w:ascii="宋体" w:hAnsi="宋体" w:eastAsia="宋体"/>
                <w:sz w:val="18"/>
                <w:szCs w:val="18"/>
              </w:rPr>
              <w:t>《中共中央、国务院转发&lt;中央宣传部、司法部关于在公民中开展法治宣传教育的第七个五年规划（2016－2020年）&gt;》、各省“七五”普法规划</w:t>
            </w:r>
          </w:p>
        </w:tc>
        <w:tc>
          <w:tcPr>
            <w:tcW w:w="1193" w:type="dxa"/>
            <w:vAlign w:val="center"/>
          </w:tcPr>
          <w:p>
            <w:pPr>
              <w:jc w:val="left"/>
              <w:rPr>
                <w:rFonts w:ascii="宋体" w:hAnsi="宋体" w:eastAsia="宋体" w:cs="宋体"/>
                <w:sz w:val="18"/>
                <w:szCs w:val="18"/>
              </w:rPr>
            </w:pPr>
            <w:r>
              <w:rPr>
                <w:rFonts w:hint="eastAsia" w:ascii="宋体" w:hAnsi="宋体" w:eastAsia="宋体"/>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sz w:val="18"/>
                <w:szCs w:val="18"/>
              </w:rPr>
            </w:pPr>
            <w:r>
              <w:rPr>
                <w:rFonts w:hint="eastAsia" w:ascii="宋体" w:hAnsi="宋体" w:eastAsia="宋体"/>
                <w:sz w:val="18"/>
                <w:szCs w:val="18"/>
              </w:rPr>
              <w:t>√</w:t>
            </w:r>
          </w:p>
        </w:tc>
        <w:tc>
          <w:tcPr>
            <w:tcW w:w="600" w:type="dxa"/>
            <w:vAlign w:val="center"/>
          </w:tcPr>
          <w:p>
            <w:pPr>
              <w:jc w:val="center"/>
              <w:rPr>
                <w:rFonts w:ascii="宋体" w:hAnsi="宋体" w:eastAsia="宋体" w:cs="宋体"/>
                <w:color w:val="FF0000"/>
                <w:sz w:val="18"/>
                <w:szCs w:val="18"/>
              </w:rPr>
            </w:pP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15</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法治宣传教育</w:t>
            </w:r>
          </w:p>
        </w:tc>
        <w:tc>
          <w:tcPr>
            <w:tcW w:w="3544" w:type="dxa"/>
            <w:vAlign w:val="center"/>
          </w:tcPr>
          <w:p>
            <w:pPr>
              <w:jc w:val="left"/>
              <w:rPr>
                <w:rFonts w:ascii="宋体" w:hAnsi="宋体" w:eastAsia="宋体" w:cs="宋体"/>
                <w:sz w:val="18"/>
                <w:szCs w:val="18"/>
              </w:rPr>
            </w:pPr>
            <w:r>
              <w:rPr>
                <w:rFonts w:hint="eastAsia" w:ascii="宋体" w:hAnsi="宋体" w:eastAsia="宋体"/>
                <w:sz w:val="18"/>
                <w:szCs w:val="18"/>
              </w:rPr>
              <w:t>对在法治宣传教育工作中做出显著成绩的单位和个人进行表彰奖励</w:t>
            </w:r>
          </w:p>
        </w:tc>
        <w:tc>
          <w:tcPr>
            <w:tcW w:w="1134" w:type="dxa"/>
            <w:vAlign w:val="center"/>
          </w:tcPr>
          <w:p>
            <w:pPr>
              <w:jc w:val="left"/>
              <w:rPr>
                <w:rFonts w:ascii="宋体" w:hAnsi="宋体" w:eastAsia="宋体" w:cs="宋体"/>
                <w:sz w:val="18"/>
                <w:szCs w:val="18"/>
              </w:rPr>
            </w:pPr>
            <w:r>
              <w:rPr>
                <w:rFonts w:hint="eastAsia" w:ascii="宋体" w:hAnsi="宋体" w:eastAsia="宋体"/>
                <w:sz w:val="18"/>
                <w:szCs w:val="18"/>
              </w:rPr>
              <w:t>评选表彰通知；先进集体和个人申报表（空白表）；拟表彰的先进集体先进个人名单；表彰决定</w:t>
            </w:r>
          </w:p>
        </w:tc>
        <w:tc>
          <w:tcPr>
            <w:tcW w:w="1276" w:type="dxa"/>
            <w:vAlign w:val="center"/>
          </w:tcPr>
          <w:p>
            <w:pPr>
              <w:jc w:val="left"/>
              <w:rPr>
                <w:rFonts w:ascii="宋体" w:hAnsi="宋体" w:eastAsia="宋体" w:cs="宋体"/>
                <w:sz w:val="18"/>
                <w:szCs w:val="18"/>
              </w:rPr>
            </w:pPr>
            <w:r>
              <w:rPr>
                <w:rFonts w:hint="eastAsia" w:ascii="宋体" w:hAnsi="宋体" w:eastAsia="宋体"/>
                <w:sz w:val="18"/>
                <w:szCs w:val="18"/>
              </w:rPr>
              <w:t>《中共中央、国务院转发&lt;中央宣传部、司法部关于在公民中开展法治宣传教育的第七个五年规划（2016－2020年）&gt;》、各省“七五”普法规划</w:t>
            </w:r>
          </w:p>
        </w:tc>
        <w:tc>
          <w:tcPr>
            <w:tcW w:w="1193" w:type="dxa"/>
            <w:vAlign w:val="center"/>
          </w:tcPr>
          <w:p>
            <w:pPr>
              <w:jc w:val="left"/>
              <w:rPr>
                <w:rFonts w:ascii="宋体" w:hAnsi="宋体" w:eastAsia="宋体" w:cs="宋体"/>
                <w:sz w:val="18"/>
                <w:szCs w:val="18"/>
              </w:rPr>
            </w:pPr>
            <w:r>
              <w:rPr>
                <w:rFonts w:hint="eastAsia" w:ascii="宋体" w:hAnsi="宋体" w:eastAsia="宋体"/>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sz w:val="18"/>
                <w:szCs w:val="18"/>
              </w:rPr>
            </w:pPr>
            <w:r>
              <w:rPr>
                <w:rFonts w:hint="eastAsia" w:ascii="宋体" w:hAnsi="宋体" w:eastAsia="宋体"/>
                <w:sz w:val="18"/>
                <w:szCs w:val="18"/>
              </w:rPr>
              <w:t>√</w:t>
            </w:r>
          </w:p>
        </w:tc>
        <w:tc>
          <w:tcPr>
            <w:tcW w:w="600" w:type="dxa"/>
            <w:vAlign w:val="center"/>
          </w:tcPr>
          <w:p>
            <w:pPr>
              <w:jc w:val="center"/>
              <w:rPr>
                <w:rFonts w:ascii="宋体" w:hAnsi="宋体" w:eastAsia="宋体" w:cs="宋体"/>
                <w:color w:val="000000"/>
                <w:sz w:val="18"/>
                <w:szCs w:val="18"/>
              </w:rPr>
            </w:pP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16</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br w:type="textWrapping"/>
            </w:r>
            <w:r>
              <w:rPr>
                <w:rFonts w:hint="eastAsia" w:ascii="宋体" w:hAnsi="宋体" w:eastAsia="宋体"/>
                <w:sz w:val="18"/>
                <w:szCs w:val="18"/>
              </w:rPr>
              <w:t>社区矫正机构</w:t>
            </w:r>
          </w:p>
        </w:tc>
        <w:tc>
          <w:tcPr>
            <w:tcW w:w="3544" w:type="dxa"/>
            <w:vAlign w:val="center"/>
          </w:tcPr>
          <w:p>
            <w:pPr>
              <w:jc w:val="left"/>
              <w:rPr>
                <w:rFonts w:ascii="宋体" w:hAnsi="宋体" w:eastAsia="宋体" w:cs="宋体"/>
                <w:sz w:val="18"/>
                <w:szCs w:val="18"/>
              </w:rPr>
            </w:pPr>
            <w:r>
              <w:rPr>
                <w:rFonts w:hint="eastAsia" w:ascii="宋体" w:hAnsi="宋体" w:eastAsia="宋体"/>
                <w:sz w:val="18"/>
                <w:szCs w:val="18"/>
              </w:rPr>
              <w:br w:type="textWrapping"/>
            </w:r>
            <w:r>
              <w:rPr>
                <w:rFonts w:hint="eastAsia" w:ascii="宋体" w:hAnsi="宋体" w:eastAsia="宋体"/>
                <w:sz w:val="18"/>
                <w:szCs w:val="18"/>
              </w:rPr>
              <w:t>社区矫正机构查询</w:t>
            </w:r>
          </w:p>
        </w:tc>
        <w:tc>
          <w:tcPr>
            <w:tcW w:w="1134" w:type="dxa"/>
            <w:vAlign w:val="center"/>
          </w:tcPr>
          <w:p>
            <w:pPr>
              <w:jc w:val="left"/>
              <w:rPr>
                <w:rFonts w:ascii="宋体" w:hAnsi="宋体" w:eastAsia="宋体" w:cs="宋体"/>
                <w:sz w:val="18"/>
                <w:szCs w:val="18"/>
              </w:rPr>
            </w:pPr>
            <w:r>
              <w:rPr>
                <w:rFonts w:hint="eastAsia" w:ascii="宋体" w:hAnsi="宋体" w:eastAsia="宋体"/>
                <w:sz w:val="18"/>
                <w:szCs w:val="18"/>
              </w:rPr>
              <w:br w:type="textWrapping"/>
            </w:r>
            <w:r>
              <w:rPr>
                <w:rFonts w:hint="eastAsia" w:ascii="宋体" w:hAnsi="宋体" w:eastAsia="宋体"/>
                <w:sz w:val="18"/>
                <w:szCs w:val="18"/>
              </w:rPr>
              <w:t>社区矫正机构查询方式</w:t>
            </w:r>
          </w:p>
        </w:tc>
        <w:tc>
          <w:tcPr>
            <w:tcW w:w="1276" w:type="dxa"/>
            <w:vAlign w:val="center"/>
          </w:tcPr>
          <w:p>
            <w:pPr>
              <w:jc w:val="left"/>
              <w:rPr>
                <w:rFonts w:ascii="宋体" w:hAnsi="宋体" w:eastAsia="宋体" w:cs="宋体"/>
                <w:sz w:val="18"/>
                <w:szCs w:val="18"/>
              </w:rPr>
            </w:pPr>
            <w:r>
              <w:rPr>
                <w:rFonts w:hint="eastAsia" w:ascii="宋体" w:hAnsi="宋体" w:eastAsia="宋体"/>
                <w:sz w:val="18"/>
                <w:szCs w:val="18"/>
              </w:rPr>
              <w:t>《广东省司法厅主要职责内设机构和人员编制规定》</w:t>
            </w:r>
          </w:p>
        </w:tc>
        <w:tc>
          <w:tcPr>
            <w:tcW w:w="1193" w:type="dxa"/>
            <w:vAlign w:val="center"/>
          </w:tcPr>
          <w:p>
            <w:pPr>
              <w:jc w:val="left"/>
              <w:rPr>
                <w:rFonts w:ascii="宋体" w:hAnsi="宋体" w:eastAsia="宋体" w:cs="宋体"/>
                <w:sz w:val="18"/>
                <w:szCs w:val="18"/>
              </w:rPr>
            </w:pPr>
            <w:r>
              <w:rPr>
                <w:rFonts w:hint="eastAsia" w:ascii="宋体" w:hAnsi="宋体" w:eastAsia="宋体"/>
                <w:sz w:val="18"/>
                <w:szCs w:val="18"/>
              </w:rPr>
              <w:t>自制作或获取该信息之日起1个工作日内公开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sz w:val="18"/>
                <w:szCs w:val="18"/>
              </w:rPr>
            </w:pPr>
            <w:r>
              <w:rPr>
                <w:rFonts w:hint="eastAsia" w:ascii="宋体" w:hAnsi="宋体" w:eastAsia="宋体"/>
                <w:sz w:val="18"/>
                <w:szCs w:val="18"/>
              </w:rPr>
              <w:t>√</w:t>
            </w:r>
          </w:p>
        </w:tc>
        <w:tc>
          <w:tcPr>
            <w:tcW w:w="600" w:type="dxa"/>
            <w:vAlign w:val="center"/>
          </w:tcPr>
          <w:p>
            <w:pPr>
              <w:jc w:val="center"/>
              <w:rPr>
                <w:rFonts w:ascii="宋体" w:hAnsi="宋体" w:eastAsia="宋体" w:cs="宋体"/>
                <w:sz w:val="18"/>
                <w:szCs w:val="18"/>
              </w:rPr>
            </w:pPr>
          </w:p>
        </w:tc>
        <w:tc>
          <w:tcPr>
            <w:tcW w:w="633" w:type="dxa"/>
            <w:vAlign w:val="center"/>
          </w:tcPr>
          <w:p>
            <w:pPr>
              <w:jc w:val="center"/>
              <w:rPr>
                <w:rFonts w:ascii="宋体" w:hAnsi="宋体" w:eastAsia="宋体" w:cs="宋体"/>
                <w:sz w:val="18"/>
                <w:szCs w:val="18"/>
              </w:rPr>
            </w:pPr>
            <w:r>
              <w:rPr>
                <w:rFonts w:hint="eastAsia" w:ascii="宋体" w:hAnsi="宋体" w:eastAsia="宋体"/>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sz w:val="18"/>
                <w:szCs w:val="18"/>
              </w:rPr>
            </w:pPr>
            <w:r>
              <w:rPr>
                <w:rFonts w:hint="eastAsia" w:ascii="宋体" w:hAnsi="宋体" w:eastAsia="宋体"/>
                <w:sz w:val="18"/>
                <w:szCs w:val="18"/>
              </w:rPr>
              <w:t>√</w:t>
            </w:r>
          </w:p>
        </w:tc>
        <w:tc>
          <w:tcPr>
            <w:tcW w:w="708" w:type="dxa"/>
            <w:vAlign w:val="center"/>
          </w:tcPr>
          <w:p>
            <w:pPr>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17</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戒毒机构信息</w:t>
            </w:r>
          </w:p>
        </w:tc>
        <w:tc>
          <w:tcPr>
            <w:tcW w:w="3544" w:type="dxa"/>
            <w:vAlign w:val="center"/>
          </w:tcPr>
          <w:p>
            <w:pPr>
              <w:jc w:val="left"/>
              <w:rPr>
                <w:rFonts w:ascii="宋体" w:hAnsi="宋体" w:eastAsia="宋体" w:cs="宋体"/>
                <w:sz w:val="18"/>
                <w:szCs w:val="18"/>
              </w:rPr>
            </w:pPr>
            <w:r>
              <w:rPr>
                <w:rFonts w:hint="eastAsia" w:ascii="宋体" w:hAnsi="宋体" w:eastAsia="宋体"/>
                <w:sz w:val="18"/>
                <w:szCs w:val="18"/>
              </w:rPr>
              <w:t>戒毒机构信息查询</w:t>
            </w:r>
          </w:p>
        </w:tc>
        <w:tc>
          <w:tcPr>
            <w:tcW w:w="1134" w:type="dxa"/>
            <w:vAlign w:val="center"/>
          </w:tcPr>
          <w:p>
            <w:pPr>
              <w:jc w:val="left"/>
              <w:rPr>
                <w:rFonts w:ascii="宋体" w:hAnsi="宋体" w:eastAsia="宋体" w:cs="宋体"/>
                <w:sz w:val="18"/>
                <w:szCs w:val="18"/>
              </w:rPr>
            </w:pPr>
            <w:r>
              <w:rPr>
                <w:rFonts w:hint="eastAsia" w:ascii="宋体" w:hAnsi="宋体" w:eastAsia="宋体"/>
                <w:sz w:val="18"/>
                <w:szCs w:val="18"/>
              </w:rPr>
              <w:t>戒毒机构信息查询方式</w:t>
            </w:r>
          </w:p>
        </w:tc>
        <w:tc>
          <w:tcPr>
            <w:tcW w:w="1276" w:type="dxa"/>
            <w:vAlign w:val="center"/>
          </w:tcPr>
          <w:p>
            <w:pPr>
              <w:jc w:val="left"/>
              <w:rPr>
                <w:rFonts w:ascii="宋体" w:hAnsi="宋体" w:eastAsia="宋体" w:cs="宋体"/>
                <w:sz w:val="18"/>
                <w:szCs w:val="18"/>
              </w:rPr>
            </w:pPr>
            <w:r>
              <w:rPr>
                <w:rFonts w:hint="eastAsia" w:ascii="宋体" w:hAnsi="宋体" w:eastAsia="宋体"/>
                <w:sz w:val="18"/>
                <w:szCs w:val="18"/>
              </w:rPr>
              <w:t>《中华人民共和国政府信息公开条例》(2008年)</w:t>
            </w:r>
          </w:p>
        </w:tc>
        <w:tc>
          <w:tcPr>
            <w:tcW w:w="1193" w:type="dxa"/>
            <w:vAlign w:val="center"/>
          </w:tcPr>
          <w:p>
            <w:pPr>
              <w:jc w:val="left"/>
              <w:rPr>
                <w:rFonts w:ascii="宋体" w:hAnsi="宋体" w:eastAsia="宋体" w:cs="宋体"/>
                <w:sz w:val="18"/>
                <w:szCs w:val="18"/>
              </w:rPr>
            </w:pPr>
            <w:r>
              <w:rPr>
                <w:rFonts w:hint="eastAsia" w:ascii="宋体" w:hAnsi="宋体" w:eastAsia="宋体"/>
                <w:sz w:val="18"/>
                <w:szCs w:val="18"/>
              </w:rPr>
              <w:t>自制作或获取该信息之日起1个工作日内公开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sz w:val="18"/>
                <w:szCs w:val="18"/>
              </w:rPr>
            </w:pPr>
            <w:r>
              <w:rPr>
                <w:rFonts w:hint="eastAsia" w:ascii="宋体" w:hAnsi="宋体" w:eastAsia="宋体"/>
                <w:sz w:val="18"/>
                <w:szCs w:val="18"/>
              </w:rPr>
              <w:t>√</w:t>
            </w:r>
          </w:p>
        </w:tc>
        <w:tc>
          <w:tcPr>
            <w:tcW w:w="600" w:type="dxa"/>
            <w:vAlign w:val="center"/>
          </w:tcPr>
          <w:p>
            <w:pPr>
              <w:jc w:val="center"/>
              <w:rPr>
                <w:rFonts w:ascii="宋体" w:hAnsi="宋体" w:eastAsia="宋体" w:cs="宋体"/>
                <w:sz w:val="18"/>
                <w:szCs w:val="18"/>
              </w:rPr>
            </w:pPr>
          </w:p>
        </w:tc>
        <w:tc>
          <w:tcPr>
            <w:tcW w:w="633" w:type="dxa"/>
            <w:vAlign w:val="center"/>
          </w:tcPr>
          <w:p>
            <w:pPr>
              <w:jc w:val="center"/>
              <w:rPr>
                <w:rFonts w:ascii="宋体" w:hAnsi="宋体" w:eastAsia="宋体" w:cs="宋体"/>
                <w:sz w:val="18"/>
                <w:szCs w:val="18"/>
              </w:rPr>
            </w:pPr>
            <w:r>
              <w:rPr>
                <w:rFonts w:hint="eastAsia" w:ascii="宋体" w:hAnsi="宋体" w:eastAsia="宋体"/>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sz w:val="18"/>
                <w:szCs w:val="18"/>
              </w:rPr>
            </w:pPr>
            <w:r>
              <w:rPr>
                <w:rFonts w:hint="eastAsia" w:ascii="宋体" w:hAnsi="宋体" w:eastAsia="宋体"/>
                <w:sz w:val="18"/>
                <w:szCs w:val="18"/>
              </w:rPr>
              <w:t>√</w:t>
            </w:r>
          </w:p>
        </w:tc>
        <w:tc>
          <w:tcPr>
            <w:tcW w:w="708" w:type="dxa"/>
            <w:vAlign w:val="center"/>
          </w:tcPr>
          <w:p>
            <w:pPr>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18</w:t>
            </w:r>
          </w:p>
        </w:tc>
        <w:tc>
          <w:tcPr>
            <w:tcW w:w="708"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基层法律服务</w:t>
            </w:r>
          </w:p>
        </w:tc>
        <w:tc>
          <w:tcPr>
            <w:tcW w:w="354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基层法律服务工作者执业申请</w:t>
            </w:r>
          </w:p>
        </w:tc>
        <w:tc>
          <w:tcPr>
            <w:tcW w:w="113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不予受理通知书</w:t>
            </w:r>
          </w:p>
        </w:tc>
        <w:tc>
          <w:tcPr>
            <w:tcW w:w="1276"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《基层法律服务工作者管理办法》</w:t>
            </w:r>
          </w:p>
        </w:tc>
        <w:tc>
          <w:tcPr>
            <w:tcW w:w="1193"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color w:val="000000"/>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00"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19</w:t>
            </w:r>
          </w:p>
        </w:tc>
        <w:tc>
          <w:tcPr>
            <w:tcW w:w="708"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基层法律服务</w:t>
            </w:r>
          </w:p>
        </w:tc>
        <w:tc>
          <w:tcPr>
            <w:tcW w:w="354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基层法律服务工作者执业机构变更</w:t>
            </w:r>
          </w:p>
        </w:tc>
        <w:tc>
          <w:tcPr>
            <w:tcW w:w="113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《基层法律服务工作者转所执业登记表》空白表</w:t>
            </w:r>
          </w:p>
        </w:tc>
        <w:tc>
          <w:tcPr>
            <w:tcW w:w="1276"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《基层法律服务工作者管理办法》</w:t>
            </w:r>
          </w:p>
        </w:tc>
        <w:tc>
          <w:tcPr>
            <w:tcW w:w="1193"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00" w:type="dxa"/>
            <w:vAlign w:val="center"/>
          </w:tcPr>
          <w:p>
            <w:pPr>
              <w:jc w:val="center"/>
              <w:rPr>
                <w:rFonts w:ascii="宋体" w:hAnsi="宋体" w:eastAsia="宋体" w:cs="宋体"/>
                <w:color w:val="000000"/>
                <w:sz w:val="18"/>
                <w:szCs w:val="18"/>
              </w:rPr>
            </w:pP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20</w:t>
            </w:r>
          </w:p>
        </w:tc>
        <w:tc>
          <w:tcPr>
            <w:tcW w:w="708"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基层法律服务</w:t>
            </w:r>
          </w:p>
        </w:tc>
        <w:tc>
          <w:tcPr>
            <w:tcW w:w="354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基层法律服务工作者注销</w:t>
            </w:r>
          </w:p>
        </w:tc>
        <w:tc>
          <w:tcPr>
            <w:tcW w:w="113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注销基层法律服务工作者执业证行政许可决定书</w:t>
            </w:r>
          </w:p>
        </w:tc>
        <w:tc>
          <w:tcPr>
            <w:tcW w:w="1276"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《基层法律服务工作者管理办法》</w:t>
            </w:r>
          </w:p>
        </w:tc>
        <w:tc>
          <w:tcPr>
            <w:tcW w:w="1193"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00"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21</w:t>
            </w:r>
          </w:p>
        </w:tc>
        <w:tc>
          <w:tcPr>
            <w:tcW w:w="708"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基层法律服务</w:t>
            </w:r>
          </w:p>
        </w:tc>
        <w:tc>
          <w:tcPr>
            <w:tcW w:w="354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基层法律服务所信息查询</w:t>
            </w:r>
          </w:p>
        </w:tc>
        <w:tc>
          <w:tcPr>
            <w:tcW w:w="113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基层法律服务所有关基本信息等</w:t>
            </w:r>
          </w:p>
        </w:tc>
        <w:tc>
          <w:tcPr>
            <w:tcW w:w="1276"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《政府信息公开条例》</w:t>
            </w:r>
          </w:p>
        </w:tc>
        <w:tc>
          <w:tcPr>
            <w:tcW w:w="1193"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00" w:type="dxa"/>
            <w:vAlign w:val="center"/>
          </w:tcPr>
          <w:p>
            <w:pPr>
              <w:jc w:val="center"/>
              <w:rPr>
                <w:rFonts w:ascii="宋体" w:hAnsi="宋体" w:eastAsia="宋体" w:cs="宋体"/>
                <w:color w:val="000000"/>
                <w:sz w:val="18"/>
                <w:szCs w:val="18"/>
              </w:rPr>
            </w:pP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22</w:t>
            </w:r>
          </w:p>
        </w:tc>
        <w:tc>
          <w:tcPr>
            <w:tcW w:w="708"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人民调解</w:t>
            </w:r>
          </w:p>
        </w:tc>
        <w:tc>
          <w:tcPr>
            <w:tcW w:w="354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br w:type="textWrapping"/>
            </w:r>
            <w:r>
              <w:rPr>
                <w:rFonts w:hint="eastAsia" w:ascii="宋体" w:hAnsi="宋体" w:eastAsia="宋体"/>
                <w:color w:val="000000"/>
                <w:sz w:val="18"/>
                <w:szCs w:val="18"/>
              </w:rPr>
              <w:t>人民调解组织信息查询</w:t>
            </w:r>
          </w:p>
        </w:tc>
        <w:tc>
          <w:tcPr>
            <w:tcW w:w="113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人民调解等法律服务机构和人员有关基本信息</w:t>
            </w:r>
          </w:p>
        </w:tc>
        <w:tc>
          <w:tcPr>
            <w:tcW w:w="1276"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《政府信息公开条例》</w:t>
            </w:r>
          </w:p>
        </w:tc>
        <w:tc>
          <w:tcPr>
            <w:tcW w:w="1193"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00" w:type="dxa"/>
            <w:vAlign w:val="center"/>
          </w:tcPr>
          <w:p>
            <w:pPr>
              <w:jc w:val="center"/>
              <w:rPr>
                <w:rFonts w:ascii="宋体" w:hAnsi="宋体" w:eastAsia="宋体" w:cs="宋体"/>
                <w:color w:val="000000"/>
                <w:sz w:val="18"/>
                <w:szCs w:val="18"/>
              </w:rPr>
            </w:pP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23</w:t>
            </w:r>
          </w:p>
        </w:tc>
        <w:tc>
          <w:tcPr>
            <w:tcW w:w="708"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人民调解</w:t>
            </w:r>
          </w:p>
        </w:tc>
        <w:tc>
          <w:tcPr>
            <w:tcW w:w="354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人民调解工作信息查询</w:t>
            </w:r>
          </w:p>
        </w:tc>
        <w:tc>
          <w:tcPr>
            <w:tcW w:w="113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人民调解委员会以及人员组成和调整有关基本信息</w:t>
            </w:r>
          </w:p>
        </w:tc>
        <w:tc>
          <w:tcPr>
            <w:tcW w:w="1276"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《中华人民共和国人民调解法》</w:t>
            </w:r>
          </w:p>
        </w:tc>
        <w:tc>
          <w:tcPr>
            <w:tcW w:w="1193"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00" w:type="dxa"/>
            <w:vAlign w:val="center"/>
          </w:tcPr>
          <w:p>
            <w:pPr>
              <w:jc w:val="center"/>
              <w:rPr>
                <w:rFonts w:ascii="宋体" w:hAnsi="宋体" w:eastAsia="宋体" w:cs="宋体"/>
                <w:color w:val="000000"/>
                <w:sz w:val="18"/>
                <w:szCs w:val="18"/>
              </w:rPr>
            </w:pP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24</w:t>
            </w:r>
          </w:p>
        </w:tc>
        <w:tc>
          <w:tcPr>
            <w:tcW w:w="708"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基层法律服务</w:t>
            </w:r>
          </w:p>
        </w:tc>
        <w:tc>
          <w:tcPr>
            <w:tcW w:w="354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基层法律服务工作者信息查询</w:t>
            </w:r>
          </w:p>
        </w:tc>
        <w:tc>
          <w:tcPr>
            <w:tcW w:w="113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基层法律服务工作者相关基本信息</w:t>
            </w:r>
          </w:p>
        </w:tc>
        <w:tc>
          <w:tcPr>
            <w:tcW w:w="1276"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《基层法律服务工作者管理办法》</w:t>
            </w:r>
          </w:p>
        </w:tc>
        <w:tc>
          <w:tcPr>
            <w:tcW w:w="1193"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00" w:type="dxa"/>
            <w:vAlign w:val="center"/>
          </w:tcPr>
          <w:p>
            <w:pPr>
              <w:jc w:val="center"/>
              <w:rPr>
                <w:rFonts w:ascii="宋体" w:hAnsi="宋体" w:eastAsia="宋体" w:cs="宋体"/>
                <w:color w:val="000000"/>
                <w:sz w:val="18"/>
                <w:szCs w:val="18"/>
              </w:rPr>
            </w:pP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r>
              <w:rPr>
                <w:rFonts w:hint="eastAsia" w:ascii="宋体" w:hAnsi="宋体"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25</w:t>
            </w:r>
          </w:p>
        </w:tc>
        <w:tc>
          <w:tcPr>
            <w:tcW w:w="708"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基层法律服务</w:t>
            </w:r>
          </w:p>
        </w:tc>
        <w:tc>
          <w:tcPr>
            <w:tcW w:w="354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对基层法律服务工作者向受援人收取财物、牟取其他不正当利益的行为的行政处罚</w:t>
            </w:r>
          </w:p>
        </w:tc>
        <w:tc>
          <w:tcPr>
            <w:tcW w:w="1134" w:type="dxa"/>
            <w:vAlign w:val="center"/>
          </w:tcPr>
          <w:p>
            <w:pPr>
              <w:jc w:val="left"/>
              <w:rPr>
                <w:rFonts w:ascii="宋体" w:hAnsi="宋体" w:eastAsia="宋体" w:cs="宋体"/>
                <w:sz w:val="18"/>
                <w:szCs w:val="18"/>
              </w:rPr>
            </w:pPr>
            <w:r>
              <w:rPr>
                <w:rFonts w:hint="eastAsia" w:ascii="宋体" w:hAnsi="宋体" w:eastAsia="宋体"/>
                <w:sz w:val="18"/>
                <w:szCs w:val="18"/>
              </w:rPr>
              <w:t>行政处罚决定或行政处罚决定书</w:t>
            </w:r>
          </w:p>
        </w:tc>
        <w:tc>
          <w:tcPr>
            <w:tcW w:w="1276"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《基层法律服务工作者管理办法》</w:t>
            </w:r>
          </w:p>
        </w:tc>
        <w:tc>
          <w:tcPr>
            <w:tcW w:w="1193"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00"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r>
              <w:rPr>
                <w:rFonts w:hint="eastAsia" w:ascii="宋体" w:hAnsi="宋体" w:eastAsia="宋体"/>
                <w:sz w:val="18"/>
                <w:szCs w:val="18"/>
              </w:rPr>
              <w:t>26</w:t>
            </w:r>
          </w:p>
        </w:tc>
        <w:tc>
          <w:tcPr>
            <w:tcW w:w="708"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基层法律服务</w:t>
            </w:r>
          </w:p>
        </w:tc>
        <w:tc>
          <w:tcPr>
            <w:tcW w:w="354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对基层法律服务所超越业务范围和诉讼代理执业区域其他行为的行政处罚收起</w:t>
            </w:r>
          </w:p>
        </w:tc>
        <w:tc>
          <w:tcPr>
            <w:tcW w:w="1134" w:type="dxa"/>
            <w:vAlign w:val="center"/>
          </w:tcPr>
          <w:p>
            <w:pPr>
              <w:jc w:val="left"/>
              <w:rPr>
                <w:rFonts w:ascii="宋体" w:hAnsi="宋体" w:eastAsia="宋体" w:cs="宋体"/>
                <w:sz w:val="18"/>
                <w:szCs w:val="18"/>
              </w:rPr>
            </w:pPr>
            <w:r>
              <w:rPr>
                <w:rFonts w:hint="eastAsia" w:ascii="宋体" w:hAnsi="宋体" w:eastAsia="宋体"/>
                <w:sz w:val="18"/>
                <w:szCs w:val="18"/>
              </w:rPr>
              <w:t>行政处罚决定或行政处罚决定书</w:t>
            </w:r>
          </w:p>
        </w:tc>
        <w:tc>
          <w:tcPr>
            <w:tcW w:w="1276"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《基层法律服务所管理办法》</w:t>
            </w:r>
          </w:p>
        </w:tc>
        <w:tc>
          <w:tcPr>
            <w:tcW w:w="1193"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00"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pPr>
              <w:jc w:val="center"/>
              <w:rPr>
                <w:rFonts w:ascii="宋体" w:hAnsi="宋体" w:eastAsia="宋体" w:cs="宋体"/>
                <w:sz w:val="18"/>
                <w:szCs w:val="18"/>
              </w:rPr>
            </w:pPr>
            <w:bookmarkStart w:id="1" w:name="_GoBack" w:colFirst="7" w:colLast="7"/>
            <w:r>
              <w:rPr>
                <w:rFonts w:hint="eastAsia" w:ascii="宋体" w:hAnsi="宋体" w:eastAsia="宋体"/>
                <w:sz w:val="18"/>
                <w:szCs w:val="18"/>
              </w:rPr>
              <w:t>27</w:t>
            </w:r>
          </w:p>
        </w:tc>
        <w:tc>
          <w:tcPr>
            <w:tcW w:w="708"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基层法律服务</w:t>
            </w:r>
          </w:p>
        </w:tc>
        <w:tc>
          <w:tcPr>
            <w:tcW w:w="3544"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对基层法律服务工作者超越业务范围和诉讼代理执业区域其他行为的行政处罚收起</w:t>
            </w:r>
          </w:p>
        </w:tc>
        <w:tc>
          <w:tcPr>
            <w:tcW w:w="1134" w:type="dxa"/>
            <w:vAlign w:val="center"/>
          </w:tcPr>
          <w:p>
            <w:pPr>
              <w:jc w:val="left"/>
              <w:rPr>
                <w:rFonts w:ascii="宋体" w:hAnsi="宋体" w:eastAsia="宋体" w:cs="宋体"/>
                <w:sz w:val="18"/>
                <w:szCs w:val="18"/>
              </w:rPr>
            </w:pPr>
            <w:r>
              <w:rPr>
                <w:rFonts w:hint="eastAsia" w:ascii="宋体" w:hAnsi="宋体" w:eastAsia="宋体"/>
                <w:sz w:val="18"/>
                <w:szCs w:val="18"/>
              </w:rPr>
              <w:t>行政处罚决定或行政处罚决定书</w:t>
            </w:r>
          </w:p>
        </w:tc>
        <w:tc>
          <w:tcPr>
            <w:tcW w:w="1276"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《基层法律服务工作者管理办法》</w:t>
            </w:r>
          </w:p>
        </w:tc>
        <w:tc>
          <w:tcPr>
            <w:tcW w:w="1193" w:type="dxa"/>
            <w:vAlign w:val="center"/>
          </w:tcPr>
          <w:p>
            <w:pPr>
              <w:jc w:val="left"/>
              <w:rPr>
                <w:rFonts w:ascii="宋体" w:hAnsi="宋体" w:eastAsia="宋体" w:cs="宋体"/>
                <w:color w:val="000000"/>
                <w:sz w:val="18"/>
                <w:szCs w:val="18"/>
              </w:rPr>
            </w:pPr>
            <w:r>
              <w:rPr>
                <w:rFonts w:hint="eastAsia" w:ascii="宋体" w:hAnsi="宋体" w:eastAsia="宋体"/>
                <w:color w:val="000000"/>
                <w:sz w:val="18"/>
                <w:szCs w:val="18"/>
              </w:rPr>
              <w:t>自制作或获取该信息之日起20个工作日内公开</w:t>
            </w:r>
          </w:p>
        </w:tc>
        <w:tc>
          <w:tcPr>
            <w:tcW w:w="650" w:type="dxa"/>
            <w:vAlign w:val="center"/>
          </w:tcPr>
          <w:p>
            <w:pPr>
              <w:jc w:val="left"/>
              <w:rPr>
                <w:rFonts w:ascii="宋体" w:hAnsi="宋体" w:eastAsia="宋体" w:cs="宋体"/>
                <w:sz w:val="18"/>
                <w:szCs w:val="18"/>
              </w:rPr>
            </w:pPr>
            <w:r>
              <w:rPr>
                <w:rFonts w:hint="eastAsia" w:ascii="宋体" w:hAnsi="宋体" w:eastAsia="宋体"/>
                <w:sz w:val="18"/>
                <w:szCs w:val="18"/>
                <w:lang w:val="en-US" w:eastAsia="zh-CN"/>
              </w:rPr>
              <w:t>端芬镇人民政府</w:t>
            </w:r>
          </w:p>
        </w:tc>
        <w:tc>
          <w:tcPr>
            <w:tcW w:w="1100" w:type="dxa"/>
            <w:vAlign w:val="center"/>
          </w:tcPr>
          <w:p>
            <w:pPr>
              <w:jc w:val="left"/>
              <w:rPr>
                <w:rFonts w:ascii="宋体" w:hAnsi="宋体" w:eastAsia="宋体" w:cs="宋体"/>
                <w:sz w:val="18"/>
                <w:szCs w:val="18"/>
              </w:rPr>
            </w:pPr>
            <w:r>
              <w:rPr>
                <w:rFonts w:hint="eastAsia" w:ascii="宋体" w:hAnsi="宋体" w:eastAsia="宋体"/>
                <w:sz w:val="18"/>
                <w:szCs w:val="18"/>
              </w:rPr>
              <w:t xml:space="preserve">■政府网站  </w:t>
            </w:r>
          </w:p>
        </w:tc>
        <w:tc>
          <w:tcPr>
            <w:tcW w:w="867"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00"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33"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627" w:type="dxa"/>
            <w:vAlign w:val="center"/>
          </w:tcPr>
          <w:p>
            <w:pPr>
              <w:jc w:val="center"/>
              <w:rPr>
                <w:rFonts w:ascii="宋体" w:hAnsi="宋体" w:eastAsia="宋体" w:cs="宋体"/>
                <w:sz w:val="18"/>
                <w:szCs w:val="18"/>
              </w:rPr>
            </w:pPr>
          </w:p>
        </w:tc>
        <w:tc>
          <w:tcPr>
            <w:tcW w:w="709" w:type="dxa"/>
            <w:vAlign w:val="center"/>
          </w:tcPr>
          <w:p>
            <w:pPr>
              <w:jc w:val="center"/>
              <w:rPr>
                <w:rFonts w:ascii="宋体" w:hAnsi="宋体" w:eastAsia="宋体" w:cs="宋体"/>
                <w:color w:val="000000"/>
                <w:sz w:val="18"/>
                <w:szCs w:val="18"/>
              </w:rPr>
            </w:pPr>
            <w:r>
              <w:rPr>
                <w:rFonts w:hint="eastAsia" w:ascii="宋体" w:hAnsi="宋体" w:eastAsia="宋体"/>
                <w:color w:val="000000"/>
                <w:sz w:val="18"/>
                <w:szCs w:val="18"/>
              </w:rPr>
              <w:t>√</w:t>
            </w:r>
          </w:p>
        </w:tc>
        <w:tc>
          <w:tcPr>
            <w:tcW w:w="708" w:type="dxa"/>
            <w:vAlign w:val="center"/>
          </w:tcPr>
          <w:p>
            <w:pPr>
              <w:jc w:val="center"/>
              <w:rPr>
                <w:rFonts w:ascii="宋体" w:hAnsi="宋体" w:eastAsia="宋体" w:cs="宋体"/>
                <w:sz w:val="18"/>
                <w:szCs w:val="18"/>
              </w:rPr>
            </w:pPr>
          </w:p>
        </w:tc>
      </w:tr>
    </w:tbl>
    <w:p/>
    <w:sectPr>
      <w:pgSz w:w="16838" w:h="11906" w:orient="landscape"/>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1D1"/>
    <w:rsid w:val="000E782F"/>
    <w:rsid w:val="00293348"/>
    <w:rsid w:val="00492D44"/>
    <w:rsid w:val="005A09E6"/>
    <w:rsid w:val="007611D1"/>
    <w:rsid w:val="00936175"/>
    <w:rsid w:val="00EE5DD9"/>
    <w:rsid w:val="1EB7736D"/>
    <w:rsid w:val="22E25ECF"/>
    <w:rsid w:val="2AEE734B"/>
    <w:rsid w:val="41325857"/>
    <w:rsid w:val="45606DE2"/>
    <w:rsid w:val="4BD377CF"/>
    <w:rsid w:val="538742B7"/>
    <w:rsid w:val="5BB84E8C"/>
    <w:rsid w:val="5F6C2D7C"/>
    <w:rsid w:val="6A3836BF"/>
    <w:rsid w:val="769C1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
    <w:name w:val="Hyperlink"/>
    <w:basedOn w:val="4"/>
    <w:semiHidden/>
    <w:unhideWhenUsed/>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1111</Words>
  <Characters>6335</Characters>
  <Lines>52</Lines>
  <Paragraphs>14</Paragraphs>
  <TotalTime>0</TotalTime>
  <ScaleCrop>false</ScaleCrop>
  <LinksUpToDate>false</LinksUpToDate>
  <CharactersWithSpaces>7432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2020-11-03T04:04:00Z</dcterms:created>
  <dc:creator>政法委</dc:creator>
  <cp:lastModifiedBy>Administrator</cp:lastModifiedBy>
  <dcterms:modified xsi:type="dcterms:W3CDTF">2020-11-23T08:57:00Z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