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40" w:lineRule="exact"/>
        <w:jc w:val="center"/>
        <w:rPr>
          <w:rFonts w:eastAsia="方正小标宋_GBK"/>
          <w:color w:val="000000"/>
          <w:sz w:val="40"/>
          <w:szCs w:val="44"/>
        </w:rPr>
      </w:pPr>
      <w:r>
        <w:rPr>
          <w:rFonts w:hint="eastAsia" w:eastAsia="方正小标宋简体"/>
          <w:color w:val="000000"/>
          <w:sz w:val="40"/>
          <w:szCs w:val="44"/>
        </w:rPr>
        <w:t>（二十四）</w:t>
      </w:r>
      <w:r>
        <w:rPr>
          <w:rFonts w:eastAsia="方正小标宋简体"/>
          <w:color w:val="000000"/>
          <w:sz w:val="40"/>
          <w:szCs w:val="44"/>
        </w:rPr>
        <w:t>食品药品监管领域基层政务公开标准目录</w:t>
      </w:r>
    </w:p>
    <w:p>
      <w:pPr>
        <w:snapToGrid w:val="0"/>
        <w:spacing w:line="240" w:lineRule="exact"/>
        <w:rPr>
          <w:rFonts w:eastAsia="方正小标宋_GBK"/>
          <w:color w:val="000000"/>
          <w:sz w:val="30"/>
        </w:rPr>
      </w:pPr>
    </w:p>
    <w:tbl>
      <w:tblPr>
        <w:tblStyle w:val="4"/>
        <w:tblW w:w="4950" w:type="pct"/>
        <w:jc w:val="center"/>
        <w:tblLayout w:type="autofit"/>
        <w:tblCellMar>
          <w:top w:w="0" w:type="dxa"/>
          <w:left w:w="108" w:type="dxa"/>
          <w:bottom w:w="0" w:type="dxa"/>
          <w:right w:w="108" w:type="dxa"/>
        </w:tblCellMar>
      </w:tblPr>
      <w:tblGrid>
        <w:gridCol w:w="438"/>
        <w:gridCol w:w="873"/>
        <w:gridCol w:w="886"/>
        <w:gridCol w:w="2575"/>
        <w:gridCol w:w="3116"/>
        <w:gridCol w:w="849"/>
        <w:gridCol w:w="849"/>
        <w:gridCol w:w="1750"/>
        <w:gridCol w:w="654"/>
        <w:gridCol w:w="660"/>
        <w:gridCol w:w="654"/>
        <w:gridCol w:w="660"/>
        <w:gridCol w:w="655"/>
        <w:gridCol w:w="579"/>
      </w:tblGrid>
      <w:tr>
        <w:tblPrEx>
          <w:tblCellMar>
            <w:top w:w="0" w:type="dxa"/>
            <w:left w:w="108" w:type="dxa"/>
            <w:bottom w:w="0" w:type="dxa"/>
            <w:right w:w="108" w:type="dxa"/>
          </w:tblCellMar>
        </w:tblPrEx>
        <w:trPr>
          <w:trHeight w:val="713" w:hRule="atLeast"/>
          <w:tblHeader/>
          <w:jc w:val="center"/>
        </w:trPr>
        <w:tc>
          <w:tcPr>
            <w:tcW w:w="144" w:type="pct"/>
            <w:vMerge w:val="restart"/>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color w:val="000000"/>
                <w:kern w:val="0"/>
                <w:sz w:val="22"/>
              </w:rPr>
            </w:pPr>
            <w:r>
              <w:rPr>
                <w:rFonts w:eastAsia="黑体"/>
                <w:color w:val="000000"/>
                <w:kern w:val="0"/>
                <w:sz w:val="22"/>
              </w:rPr>
              <w:t>序号</w:t>
            </w:r>
          </w:p>
        </w:tc>
        <w:tc>
          <w:tcPr>
            <w:tcW w:w="578" w:type="pct"/>
            <w:gridSpan w:val="2"/>
            <w:tcBorders>
              <w:top w:val="single" w:color="auto" w:sz="4" w:space="0"/>
              <w:left w:val="nil"/>
              <w:bottom w:val="single" w:color="auto" w:sz="4" w:space="0"/>
              <w:right w:val="single" w:color="auto" w:sz="4" w:space="0"/>
            </w:tcBorders>
            <w:vAlign w:val="center"/>
          </w:tcPr>
          <w:p>
            <w:pPr>
              <w:widowControl/>
              <w:spacing w:line="440" w:lineRule="exact"/>
              <w:jc w:val="center"/>
              <w:rPr>
                <w:rFonts w:eastAsia="黑体"/>
                <w:color w:val="000000"/>
                <w:kern w:val="0"/>
                <w:sz w:val="22"/>
              </w:rPr>
            </w:pPr>
            <w:r>
              <w:rPr>
                <w:rFonts w:eastAsia="黑体"/>
                <w:color w:val="000000"/>
                <w:kern w:val="0"/>
                <w:sz w:val="22"/>
              </w:rPr>
              <w:t>公开事项</w:t>
            </w:r>
          </w:p>
        </w:tc>
        <w:tc>
          <w:tcPr>
            <w:tcW w:w="846" w:type="pct"/>
            <w:vMerge w:val="restart"/>
            <w:tcBorders>
              <w:top w:val="single" w:color="auto" w:sz="4" w:space="0"/>
              <w:left w:val="single" w:color="auto" w:sz="4" w:space="0"/>
              <w:right w:val="single" w:color="auto" w:sz="4" w:space="0"/>
            </w:tcBorders>
            <w:vAlign w:val="center"/>
          </w:tcPr>
          <w:p>
            <w:pPr>
              <w:widowControl/>
              <w:spacing w:line="440" w:lineRule="exact"/>
              <w:jc w:val="center"/>
              <w:rPr>
                <w:rFonts w:eastAsia="黑体"/>
                <w:color w:val="000000"/>
                <w:kern w:val="0"/>
                <w:sz w:val="22"/>
              </w:rPr>
            </w:pPr>
            <w:r>
              <w:rPr>
                <w:rFonts w:eastAsia="黑体"/>
                <w:color w:val="000000"/>
                <w:kern w:val="0"/>
                <w:sz w:val="22"/>
              </w:rPr>
              <w:t>公开内容（要素）</w:t>
            </w:r>
          </w:p>
        </w:tc>
        <w:tc>
          <w:tcPr>
            <w:tcW w:w="1024" w:type="pct"/>
            <w:vMerge w:val="restart"/>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eastAsia="黑体"/>
                <w:color w:val="000000"/>
                <w:kern w:val="0"/>
                <w:sz w:val="22"/>
              </w:rPr>
            </w:pPr>
            <w:r>
              <w:rPr>
                <w:rFonts w:eastAsia="黑体"/>
                <w:color w:val="000000"/>
                <w:kern w:val="0"/>
                <w:sz w:val="22"/>
              </w:rPr>
              <w:t>公开依据</w:t>
            </w:r>
          </w:p>
        </w:tc>
        <w:tc>
          <w:tcPr>
            <w:tcW w:w="279" w:type="pct"/>
            <w:vMerge w:val="restart"/>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eastAsia="黑体"/>
                <w:color w:val="000000"/>
                <w:kern w:val="0"/>
                <w:sz w:val="22"/>
              </w:rPr>
            </w:pPr>
            <w:r>
              <w:rPr>
                <w:rFonts w:eastAsia="黑体"/>
                <w:color w:val="000000"/>
                <w:kern w:val="0"/>
                <w:sz w:val="22"/>
              </w:rPr>
              <w:t>公开时限</w:t>
            </w:r>
          </w:p>
        </w:tc>
        <w:tc>
          <w:tcPr>
            <w:tcW w:w="279" w:type="pct"/>
            <w:vMerge w:val="restart"/>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eastAsia="黑体"/>
                <w:color w:val="000000"/>
                <w:kern w:val="0"/>
                <w:sz w:val="22"/>
              </w:rPr>
            </w:pPr>
            <w:r>
              <w:rPr>
                <w:rFonts w:eastAsia="黑体"/>
                <w:color w:val="000000"/>
                <w:kern w:val="0"/>
                <w:sz w:val="22"/>
              </w:rPr>
              <w:t>公开主体</w:t>
            </w:r>
          </w:p>
        </w:tc>
        <w:tc>
          <w:tcPr>
            <w:tcW w:w="575" w:type="pct"/>
            <w:vMerge w:val="restart"/>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eastAsia="黑体"/>
                <w:color w:val="000000"/>
                <w:kern w:val="0"/>
                <w:sz w:val="22"/>
              </w:rPr>
            </w:pPr>
            <w:r>
              <w:rPr>
                <w:rFonts w:eastAsia="黑体"/>
                <w:color w:val="000000"/>
                <w:kern w:val="0"/>
                <w:sz w:val="22"/>
              </w:rPr>
              <w:t>公开渠道和载体</w:t>
            </w:r>
          </w:p>
        </w:tc>
        <w:tc>
          <w:tcPr>
            <w:tcW w:w="432" w:type="pct"/>
            <w:gridSpan w:val="2"/>
            <w:tcBorders>
              <w:top w:val="single" w:color="auto" w:sz="4" w:space="0"/>
              <w:left w:val="nil"/>
              <w:bottom w:val="single" w:color="auto" w:sz="4" w:space="0"/>
              <w:right w:val="single" w:color="auto" w:sz="4" w:space="0"/>
            </w:tcBorders>
            <w:vAlign w:val="center"/>
          </w:tcPr>
          <w:p>
            <w:pPr>
              <w:widowControl/>
              <w:spacing w:line="440" w:lineRule="exact"/>
              <w:jc w:val="center"/>
              <w:rPr>
                <w:rFonts w:eastAsia="黑体"/>
                <w:color w:val="000000"/>
                <w:kern w:val="0"/>
                <w:sz w:val="22"/>
              </w:rPr>
            </w:pPr>
            <w:r>
              <w:rPr>
                <w:rFonts w:eastAsia="黑体"/>
                <w:color w:val="000000"/>
                <w:kern w:val="0"/>
                <w:sz w:val="22"/>
              </w:rPr>
              <w:t>公开对象</w:t>
            </w:r>
          </w:p>
        </w:tc>
        <w:tc>
          <w:tcPr>
            <w:tcW w:w="432" w:type="pct"/>
            <w:gridSpan w:val="2"/>
            <w:tcBorders>
              <w:top w:val="single" w:color="auto" w:sz="4" w:space="0"/>
              <w:left w:val="nil"/>
              <w:bottom w:val="single" w:color="auto" w:sz="4" w:space="0"/>
              <w:right w:val="single" w:color="auto" w:sz="4" w:space="0"/>
            </w:tcBorders>
            <w:vAlign w:val="center"/>
          </w:tcPr>
          <w:p>
            <w:pPr>
              <w:widowControl/>
              <w:spacing w:line="440" w:lineRule="exact"/>
              <w:jc w:val="center"/>
              <w:rPr>
                <w:rFonts w:eastAsia="黑体"/>
                <w:color w:val="000000"/>
                <w:kern w:val="0"/>
                <w:sz w:val="22"/>
              </w:rPr>
            </w:pPr>
            <w:r>
              <w:rPr>
                <w:rFonts w:eastAsia="黑体"/>
                <w:color w:val="000000"/>
                <w:kern w:val="0"/>
                <w:sz w:val="22"/>
              </w:rPr>
              <w:t>公开方式</w:t>
            </w:r>
          </w:p>
        </w:tc>
        <w:tc>
          <w:tcPr>
            <w:tcW w:w="405" w:type="pct"/>
            <w:gridSpan w:val="2"/>
            <w:tcBorders>
              <w:top w:val="single" w:color="auto" w:sz="4" w:space="0"/>
              <w:left w:val="nil"/>
              <w:bottom w:val="single" w:color="auto" w:sz="4" w:space="0"/>
              <w:right w:val="single" w:color="auto" w:sz="4" w:space="0"/>
            </w:tcBorders>
            <w:vAlign w:val="center"/>
          </w:tcPr>
          <w:p>
            <w:pPr>
              <w:widowControl/>
              <w:spacing w:line="440" w:lineRule="exact"/>
              <w:jc w:val="center"/>
              <w:rPr>
                <w:rFonts w:eastAsia="黑体"/>
                <w:color w:val="000000"/>
                <w:kern w:val="0"/>
                <w:sz w:val="22"/>
              </w:rPr>
            </w:pPr>
            <w:r>
              <w:rPr>
                <w:rFonts w:eastAsia="黑体"/>
                <w:color w:val="000000"/>
                <w:kern w:val="0"/>
                <w:sz w:val="22"/>
              </w:rPr>
              <w:t>公开层级</w:t>
            </w:r>
          </w:p>
        </w:tc>
      </w:tr>
      <w:tr>
        <w:tblPrEx>
          <w:tblCellMar>
            <w:top w:w="0" w:type="dxa"/>
            <w:left w:w="108" w:type="dxa"/>
            <w:bottom w:w="0" w:type="dxa"/>
            <w:right w:w="108" w:type="dxa"/>
          </w:tblCellMar>
        </w:tblPrEx>
        <w:trPr>
          <w:trHeight w:val="1246" w:hRule="atLeast"/>
          <w:tblHeader/>
          <w:jc w:val="center"/>
        </w:trPr>
        <w:tc>
          <w:tcPr>
            <w:tcW w:w="14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color w:val="000000"/>
                <w:kern w:val="0"/>
                <w:sz w:val="22"/>
              </w:rPr>
            </w:pPr>
          </w:p>
        </w:tc>
        <w:tc>
          <w:tcPr>
            <w:tcW w:w="287" w:type="pct"/>
            <w:tcBorders>
              <w:top w:val="nil"/>
              <w:left w:val="nil"/>
              <w:bottom w:val="single" w:color="auto" w:sz="4" w:space="0"/>
              <w:right w:val="single" w:color="auto" w:sz="4" w:space="0"/>
            </w:tcBorders>
            <w:vAlign w:val="center"/>
          </w:tcPr>
          <w:p>
            <w:pPr>
              <w:widowControl/>
              <w:spacing w:line="440" w:lineRule="exact"/>
              <w:jc w:val="center"/>
              <w:rPr>
                <w:rFonts w:eastAsia="黑体"/>
                <w:color w:val="000000"/>
                <w:kern w:val="0"/>
                <w:sz w:val="22"/>
              </w:rPr>
            </w:pPr>
            <w:r>
              <w:rPr>
                <w:rFonts w:eastAsia="黑体"/>
                <w:color w:val="000000"/>
                <w:kern w:val="0"/>
                <w:sz w:val="22"/>
              </w:rPr>
              <w:t>一级</w:t>
            </w:r>
          </w:p>
          <w:p>
            <w:pPr>
              <w:widowControl/>
              <w:spacing w:line="440" w:lineRule="exact"/>
              <w:jc w:val="center"/>
              <w:rPr>
                <w:rFonts w:eastAsia="黑体"/>
                <w:color w:val="000000"/>
                <w:kern w:val="0"/>
                <w:sz w:val="22"/>
              </w:rPr>
            </w:pPr>
            <w:r>
              <w:rPr>
                <w:rFonts w:eastAsia="黑体"/>
                <w:color w:val="000000"/>
                <w:kern w:val="0"/>
                <w:sz w:val="22"/>
              </w:rPr>
              <w:t>事项</w:t>
            </w:r>
          </w:p>
        </w:tc>
        <w:tc>
          <w:tcPr>
            <w:tcW w:w="291" w:type="pct"/>
            <w:tcBorders>
              <w:top w:val="nil"/>
              <w:left w:val="nil"/>
              <w:bottom w:val="single" w:color="auto" w:sz="4" w:space="0"/>
              <w:right w:val="single" w:color="auto" w:sz="4" w:space="0"/>
            </w:tcBorders>
            <w:vAlign w:val="center"/>
          </w:tcPr>
          <w:p>
            <w:pPr>
              <w:widowControl/>
              <w:spacing w:line="440" w:lineRule="exact"/>
              <w:jc w:val="center"/>
              <w:rPr>
                <w:rFonts w:eastAsia="黑体"/>
                <w:color w:val="000000"/>
                <w:kern w:val="0"/>
                <w:sz w:val="22"/>
              </w:rPr>
            </w:pPr>
            <w:r>
              <w:rPr>
                <w:rFonts w:eastAsia="黑体"/>
                <w:color w:val="000000"/>
                <w:kern w:val="0"/>
                <w:sz w:val="22"/>
              </w:rPr>
              <w:t>二级</w:t>
            </w:r>
          </w:p>
          <w:p>
            <w:pPr>
              <w:widowControl/>
              <w:spacing w:line="440" w:lineRule="exact"/>
              <w:jc w:val="center"/>
              <w:rPr>
                <w:rFonts w:eastAsia="黑体"/>
                <w:color w:val="000000"/>
                <w:kern w:val="0"/>
                <w:sz w:val="22"/>
              </w:rPr>
            </w:pPr>
            <w:r>
              <w:rPr>
                <w:rFonts w:eastAsia="黑体"/>
                <w:color w:val="000000"/>
                <w:kern w:val="0"/>
                <w:sz w:val="22"/>
              </w:rPr>
              <w:t>事项</w:t>
            </w:r>
          </w:p>
        </w:tc>
        <w:tc>
          <w:tcPr>
            <w:tcW w:w="846" w:type="pct"/>
            <w:vMerge w:val="continue"/>
            <w:tcBorders>
              <w:left w:val="single" w:color="auto" w:sz="4" w:space="0"/>
              <w:bottom w:val="single" w:color="auto" w:sz="4" w:space="0"/>
              <w:right w:val="single" w:color="auto" w:sz="4" w:space="0"/>
            </w:tcBorders>
            <w:vAlign w:val="center"/>
          </w:tcPr>
          <w:p>
            <w:pPr>
              <w:widowControl/>
              <w:spacing w:line="440" w:lineRule="exact"/>
              <w:rPr>
                <w:rFonts w:eastAsia="黑体"/>
                <w:color w:val="000000"/>
                <w:kern w:val="0"/>
                <w:sz w:val="22"/>
              </w:rPr>
            </w:pPr>
          </w:p>
        </w:tc>
        <w:tc>
          <w:tcPr>
            <w:tcW w:w="102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440" w:lineRule="exact"/>
              <w:rPr>
                <w:rFonts w:eastAsia="黑体"/>
                <w:color w:val="000000"/>
                <w:kern w:val="0"/>
                <w:sz w:val="22"/>
              </w:rPr>
            </w:pPr>
          </w:p>
        </w:tc>
        <w:tc>
          <w:tcPr>
            <w:tcW w:w="27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eastAsia="黑体"/>
                <w:color w:val="000000"/>
                <w:kern w:val="0"/>
                <w:sz w:val="22"/>
              </w:rPr>
            </w:pPr>
          </w:p>
        </w:tc>
        <w:tc>
          <w:tcPr>
            <w:tcW w:w="27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eastAsia="黑体"/>
                <w:color w:val="000000"/>
                <w:kern w:val="0"/>
                <w:sz w:val="22"/>
              </w:rPr>
            </w:pPr>
          </w:p>
        </w:tc>
        <w:tc>
          <w:tcPr>
            <w:tcW w:w="57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eastAsia="黑体"/>
                <w:color w:val="000000"/>
                <w:kern w:val="0"/>
                <w:sz w:val="22"/>
              </w:rPr>
            </w:pPr>
          </w:p>
        </w:tc>
        <w:tc>
          <w:tcPr>
            <w:tcW w:w="215" w:type="pct"/>
            <w:tcBorders>
              <w:top w:val="nil"/>
              <w:left w:val="nil"/>
              <w:bottom w:val="single" w:color="auto" w:sz="4" w:space="0"/>
              <w:right w:val="single" w:color="auto" w:sz="4" w:space="0"/>
            </w:tcBorders>
            <w:vAlign w:val="center"/>
          </w:tcPr>
          <w:p>
            <w:pPr>
              <w:widowControl/>
              <w:spacing w:line="240" w:lineRule="exact"/>
              <w:jc w:val="center"/>
              <w:rPr>
                <w:rFonts w:eastAsia="黑体"/>
                <w:color w:val="000000"/>
                <w:kern w:val="0"/>
                <w:sz w:val="22"/>
              </w:rPr>
            </w:pPr>
            <w:r>
              <w:rPr>
                <w:rFonts w:eastAsia="黑体"/>
                <w:color w:val="000000"/>
                <w:kern w:val="0"/>
                <w:sz w:val="22"/>
              </w:rPr>
              <w:t>全社会</w:t>
            </w:r>
          </w:p>
        </w:tc>
        <w:tc>
          <w:tcPr>
            <w:tcW w:w="217" w:type="pct"/>
            <w:tcBorders>
              <w:top w:val="nil"/>
              <w:left w:val="nil"/>
              <w:bottom w:val="single" w:color="auto" w:sz="4" w:space="0"/>
              <w:right w:val="single" w:color="auto" w:sz="4" w:space="0"/>
            </w:tcBorders>
            <w:vAlign w:val="center"/>
          </w:tcPr>
          <w:p>
            <w:pPr>
              <w:widowControl/>
              <w:spacing w:line="240" w:lineRule="exact"/>
              <w:jc w:val="center"/>
              <w:rPr>
                <w:rFonts w:eastAsia="黑体"/>
                <w:color w:val="000000"/>
                <w:kern w:val="0"/>
                <w:sz w:val="22"/>
              </w:rPr>
            </w:pPr>
            <w:r>
              <w:rPr>
                <w:rFonts w:eastAsia="黑体"/>
                <w:color w:val="000000"/>
                <w:kern w:val="0"/>
                <w:sz w:val="22"/>
              </w:rPr>
              <w:t>特定群众</w:t>
            </w:r>
          </w:p>
        </w:tc>
        <w:tc>
          <w:tcPr>
            <w:tcW w:w="215" w:type="pct"/>
            <w:tcBorders>
              <w:top w:val="nil"/>
              <w:left w:val="nil"/>
              <w:bottom w:val="single" w:color="auto" w:sz="4" w:space="0"/>
              <w:right w:val="single" w:color="auto" w:sz="4" w:space="0"/>
            </w:tcBorders>
            <w:vAlign w:val="center"/>
          </w:tcPr>
          <w:p>
            <w:pPr>
              <w:widowControl/>
              <w:spacing w:line="240" w:lineRule="exact"/>
              <w:jc w:val="center"/>
              <w:rPr>
                <w:rFonts w:eastAsia="黑体"/>
                <w:color w:val="000000"/>
                <w:kern w:val="0"/>
                <w:sz w:val="22"/>
              </w:rPr>
            </w:pPr>
            <w:r>
              <w:rPr>
                <w:rFonts w:eastAsia="黑体"/>
                <w:color w:val="000000"/>
                <w:kern w:val="0"/>
                <w:sz w:val="22"/>
              </w:rPr>
              <w:t>主动</w:t>
            </w:r>
          </w:p>
        </w:tc>
        <w:tc>
          <w:tcPr>
            <w:tcW w:w="217" w:type="pct"/>
            <w:tcBorders>
              <w:top w:val="nil"/>
              <w:left w:val="nil"/>
              <w:bottom w:val="single" w:color="auto" w:sz="4" w:space="0"/>
              <w:right w:val="single" w:color="auto" w:sz="4" w:space="0"/>
            </w:tcBorders>
            <w:vAlign w:val="center"/>
          </w:tcPr>
          <w:p>
            <w:pPr>
              <w:widowControl/>
              <w:spacing w:line="240" w:lineRule="exact"/>
              <w:jc w:val="center"/>
              <w:rPr>
                <w:rFonts w:eastAsia="黑体"/>
                <w:color w:val="000000"/>
                <w:kern w:val="0"/>
                <w:sz w:val="22"/>
              </w:rPr>
            </w:pPr>
            <w:r>
              <w:rPr>
                <w:rFonts w:eastAsia="黑体"/>
                <w:color w:val="000000"/>
                <w:kern w:val="0"/>
                <w:sz w:val="22"/>
              </w:rPr>
              <w:t>依申请公开</w:t>
            </w:r>
          </w:p>
        </w:tc>
        <w:tc>
          <w:tcPr>
            <w:tcW w:w="215" w:type="pct"/>
            <w:tcBorders>
              <w:top w:val="nil"/>
              <w:left w:val="nil"/>
              <w:bottom w:val="single" w:color="auto" w:sz="4" w:space="0"/>
              <w:right w:val="single" w:color="auto" w:sz="4" w:space="0"/>
            </w:tcBorders>
            <w:vAlign w:val="center"/>
          </w:tcPr>
          <w:p>
            <w:pPr>
              <w:widowControl/>
              <w:spacing w:line="240" w:lineRule="exact"/>
              <w:jc w:val="center"/>
              <w:rPr>
                <w:rFonts w:eastAsia="黑体"/>
                <w:color w:val="000000"/>
                <w:kern w:val="0"/>
                <w:sz w:val="22"/>
              </w:rPr>
            </w:pPr>
            <w:r>
              <w:rPr>
                <w:rFonts w:hint="eastAsia" w:eastAsia="黑体"/>
                <w:color w:val="000000"/>
                <w:kern w:val="0"/>
                <w:sz w:val="22"/>
                <w:lang w:eastAsia="zh-CN"/>
              </w:rPr>
              <w:t>镇</w:t>
            </w:r>
            <w:r>
              <w:rPr>
                <w:rFonts w:eastAsia="黑体"/>
                <w:color w:val="000000"/>
                <w:kern w:val="0"/>
                <w:sz w:val="22"/>
              </w:rPr>
              <w:t>级</w:t>
            </w:r>
          </w:p>
        </w:tc>
        <w:tc>
          <w:tcPr>
            <w:tcW w:w="190" w:type="pct"/>
            <w:tcBorders>
              <w:top w:val="nil"/>
              <w:left w:val="single" w:color="auto" w:sz="4" w:space="0"/>
              <w:bottom w:val="single" w:color="auto" w:sz="4" w:space="0"/>
              <w:right w:val="single" w:color="auto" w:sz="4" w:space="0"/>
            </w:tcBorders>
            <w:vAlign w:val="center"/>
          </w:tcPr>
          <w:p>
            <w:pPr>
              <w:widowControl/>
              <w:spacing w:line="240" w:lineRule="exact"/>
              <w:jc w:val="center"/>
              <w:rPr>
                <w:rFonts w:eastAsia="黑体"/>
                <w:color w:val="000000"/>
                <w:kern w:val="0"/>
                <w:sz w:val="22"/>
              </w:rPr>
            </w:pPr>
            <w:r>
              <w:rPr>
                <w:rFonts w:eastAsia="黑体"/>
                <w:color w:val="000000"/>
                <w:kern w:val="0"/>
                <w:sz w:val="22"/>
              </w:rPr>
              <w:t>村级</w:t>
            </w:r>
          </w:p>
        </w:tc>
      </w:tr>
      <w:tr>
        <w:tblPrEx>
          <w:tblCellMar>
            <w:top w:w="0" w:type="dxa"/>
            <w:left w:w="108" w:type="dxa"/>
            <w:bottom w:w="0" w:type="dxa"/>
            <w:right w:w="108" w:type="dxa"/>
          </w:tblCellMar>
        </w:tblPrEx>
        <w:trPr>
          <w:trHeight w:val="1985" w:hRule="atLeast"/>
          <w:tblHeader/>
          <w:jc w:val="center"/>
        </w:trPr>
        <w:tc>
          <w:tcPr>
            <w:tcW w:w="14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5</w:t>
            </w:r>
          </w:p>
        </w:tc>
        <w:tc>
          <w:tcPr>
            <w:tcW w:w="28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行政</w:t>
            </w:r>
          </w:p>
          <w:p>
            <w:pPr>
              <w:spacing w:line="240" w:lineRule="exact"/>
              <w:jc w:val="center"/>
              <w:rPr>
                <w:color w:val="000000"/>
                <w:sz w:val="21"/>
                <w:szCs w:val="21"/>
              </w:rPr>
            </w:pPr>
            <w:r>
              <w:rPr>
                <w:color w:val="000000"/>
                <w:sz w:val="21"/>
                <w:szCs w:val="21"/>
              </w:rPr>
              <w:t>审批</w:t>
            </w:r>
          </w:p>
        </w:tc>
        <w:tc>
          <w:tcPr>
            <w:tcW w:w="291"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特殊药品的购用、使用、经营、生产和邮寄、运输审批服务指南</w:t>
            </w:r>
          </w:p>
        </w:tc>
        <w:tc>
          <w:tcPr>
            <w:tcW w:w="846"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基本信息（包括事项名称、办</w:t>
            </w:r>
            <w:r>
              <w:rPr>
                <w:rFonts w:hint="eastAsia"/>
                <w:color w:val="000000"/>
                <w:sz w:val="21"/>
                <w:szCs w:val="21"/>
              </w:rPr>
              <w:t>结</w:t>
            </w:r>
            <w:r>
              <w:rPr>
                <w:color w:val="000000"/>
                <w:sz w:val="21"/>
                <w:szCs w:val="21"/>
              </w:rPr>
              <w:t>时限、办理</w:t>
            </w:r>
            <w:r>
              <w:rPr>
                <w:rFonts w:hint="eastAsia"/>
                <w:color w:val="000000"/>
                <w:sz w:val="21"/>
                <w:szCs w:val="21"/>
              </w:rPr>
              <w:t>形</w:t>
            </w:r>
            <w:r>
              <w:rPr>
                <w:color w:val="000000"/>
                <w:sz w:val="21"/>
                <w:szCs w:val="21"/>
              </w:rPr>
              <w:t>式、审批结果等）、受理标准、办理流程、申请材料、咨询监督、窗口办理、收费项目信息、法律依据、权利与义务、法律救济</w:t>
            </w:r>
            <w:r>
              <w:rPr>
                <w:rFonts w:hint="eastAsia"/>
                <w:color w:val="000000"/>
                <w:sz w:val="21"/>
                <w:szCs w:val="21"/>
              </w:rPr>
              <w:t>等</w:t>
            </w:r>
          </w:p>
        </w:tc>
        <w:tc>
          <w:tcPr>
            <w:tcW w:w="1024" w:type="pct"/>
            <w:tcBorders>
              <w:top w:val="single" w:color="auto" w:sz="4" w:space="0"/>
              <w:left w:val="single" w:color="auto" w:sz="4" w:space="0"/>
              <w:bottom w:val="single" w:color="auto" w:sz="4" w:space="0"/>
              <w:right w:val="single" w:color="auto" w:sz="4" w:space="0"/>
            </w:tcBorders>
            <w:vAlign w:val="center"/>
          </w:tcPr>
          <w:p>
            <w:pPr>
              <w:spacing w:line="240" w:lineRule="exact"/>
              <w:rPr>
                <w:sz w:val="21"/>
                <w:szCs w:val="21"/>
              </w:rPr>
            </w:pPr>
            <w:r>
              <w:rPr>
                <w:sz w:val="21"/>
                <w:szCs w:val="21"/>
              </w:rPr>
              <w:t>《药品管理法》、《政府信息公开条例》、《关于全面推进政务公开工作的意见》、《食品药品安全监管信息公开管理办法》、《广东省人民政府关于全面推行行政执法公示制度执法全过程记录制度重大执法决定法制审核制度的实施方案》</w:t>
            </w:r>
          </w:p>
        </w:tc>
        <w:tc>
          <w:tcPr>
            <w:tcW w:w="279" w:type="pct"/>
            <w:tcBorders>
              <w:top w:val="single" w:color="auto" w:sz="4" w:space="0"/>
              <w:left w:val="single" w:color="auto" w:sz="4" w:space="0"/>
              <w:bottom w:val="single" w:color="auto" w:sz="4" w:space="0"/>
              <w:right w:val="single" w:color="auto" w:sz="4" w:space="0"/>
            </w:tcBorders>
            <w:vAlign w:val="center"/>
          </w:tcPr>
          <w:p>
            <w:pPr>
              <w:spacing w:line="240" w:lineRule="exact"/>
              <w:rPr>
                <w:sz w:val="21"/>
                <w:szCs w:val="21"/>
              </w:rPr>
            </w:pPr>
            <w:r>
              <w:rPr>
                <w:sz w:val="21"/>
                <w:szCs w:val="21"/>
              </w:rPr>
              <w:t>信息形成或变更之日起20个工作日内</w:t>
            </w:r>
          </w:p>
        </w:tc>
        <w:tc>
          <w:tcPr>
            <w:tcW w:w="279" w:type="pct"/>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000000"/>
                <w:sz w:val="21"/>
                <w:szCs w:val="21"/>
                <w:lang w:eastAsia="zh-CN"/>
              </w:rPr>
            </w:pPr>
            <w:r>
              <w:rPr>
                <w:rFonts w:hint="eastAsia"/>
                <w:color w:val="000000"/>
                <w:sz w:val="21"/>
                <w:szCs w:val="21"/>
                <w:lang w:eastAsia="zh-CN"/>
              </w:rPr>
              <w:t>端芬镇人民政府</w:t>
            </w:r>
          </w:p>
        </w:tc>
        <w:tc>
          <w:tcPr>
            <w:tcW w:w="575" w:type="pct"/>
            <w:tcBorders>
              <w:top w:val="single" w:color="auto" w:sz="4" w:space="0"/>
              <w:left w:val="single" w:color="auto" w:sz="4" w:space="0"/>
              <w:bottom w:val="single" w:color="auto" w:sz="4" w:space="0"/>
              <w:right w:val="single" w:color="auto" w:sz="4" w:space="0"/>
            </w:tcBorders>
            <w:vAlign w:val="center"/>
          </w:tcPr>
          <w:p>
            <w:pPr>
              <w:widowControl/>
              <w:spacing w:line="240" w:lineRule="exact"/>
              <w:rPr>
                <w:color w:val="000000"/>
                <w:kern w:val="0"/>
                <w:sz w:val="21"/>
                <w:szCs w:val="21"/>
                <w:shd w:val="clear" w:color="auto" w:fill="FFFFFF"/>
              </w:rPr>
            </w:pPr>
            <w:r>
              <w:rPr>
                <w:color w:val="000000"/>
                <w:kern w:val="0"/>
                <w:sz w:val="21"/>
                <w:szCs w:val="21"/>
                <w:shd w:val="clear" w:color="auto" w:fill="FFFFFF"/>
              </w:rPr>
              <w:t>■政府网站</w:t>
            </w:r>
          </w:p>
          <w:p>
            <w:pPr>
              <w:widowControl/>
              <w:spacing w:line="240" w:lineRule="exact"/>
              <w:rPr>
                <w:color w:val="000000"/>
                <w:sz w:val="21"/>
                <w:szCs w:val="21"/>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w:t>
            </w:r>
          </w:p>
        </w:tc>
        <w:tc>
          <w:tcPr>
            <w:tcW w:w="217" w:type="pct"/>
            <w:tcBorders>
              <w:top w:val="single" w:color="auto" w:sz="4" w:space="0"/>
              <w:left w:val="nil"/>
              <w:bottom w:val="single" w:color="auto" w:sz="4" w:space="0"/>
              <w:right w:val="single" w:color="auto" w:sz="4" w:space="0"/>
            </w:tcBorders>
            <w:vAlign w:val="center"/>
          </w:tcPr>
          <w:p>
            <w:pPr>
              <w:spacing w:line="240" w:lineRule="exact"/>
              <w:jc w:val="center"/>
              <w:rPr>
                <w:color w:val="000000" w:themeColor="text1"/>
                <w:sz w:val="21"/>
                <w:szCs w:val="21"/>
                <w14:textFill>
                  <w14:solidFill>
                    <w14:schemeClr w14:val="tx1"/>
                  </w14:solidFill>
                </w14:textFill>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w:t>
            </w:r>
          </w:p>
        </w:tc>
        <w:tc>
          <w:tcPr>
            <w:tcW w:w="217" w:type="pct"/>
            <w:tcBorders>
              <w:top w:val="single" w:color="auto" w:sz="4" w:space="0"/>
              <w:left w:val="nil"/>
              <w:bottom w:val="single" w:color="auto" w:sz="4" w:space="0"/>
              <w:right w:val="single" w:color="auto" w:sz="4" w:space="0"/>
            </w:tcBorders>
            <w:vAlign w:val="center"/>
          </w:tcPr>
          <w:p>
            <w:pPr>
              <w:spacing w:line="240" w:lineRule="exact"/>
              <w:jc w:val="center"/>
              <w:rPr>
                <w:color w:val="000000" w:themeColor="text1"/>
                <w:sz w:val="21"/>
                <w:szCs w:val="21"/>
                <w14:textFill>
                  <w14:solidFill>
                    <w14:schemeClr w14:val="tx1"/>
                  </w14:solidFill>
                </w14:textFill>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w:t>
            </w:r>
          </w:p>
        </w:tc>
        <w:tc>
          <w:tcPr>
            <w:tcW w:w="19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w:t>
            </w:r>
          </w:p>
        </w:tc>
      </w:tr>
      <w:tr>
        <w:tblPrEx>
          <w:tblCellMar>
            <w:top w:w="0" w:type="dxa"/>
            <w:left w:w="108" w:type="dxa"/>
            <w:bottom w:w="0" w:type="dxa"/>
            <w:right w:w="108" w:type="dxa"/>
          </w:tblCellMar>
        </w:tblPrEx>
        <w:trPr>
          <w:trHeight w:val="1985" w:hRule="atLeast"/>
          <w:tblHeader/>
          <w:jc w:val="center"/>
        </w:trPr>
        <w:tc>
          <w:tcPr>
            <w:tcW w:w="14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11</w:t>
            </w:r>
          </w:p>
        </w:tc>
        <w:tc>
          <w:tcPr>
            <w:tcW w:w="28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监督</w:t>
            </w:r>
          </w:p>
          <w:p>
            <w:pPr>
              <w:spacing w:line="240" w:lineRule="exact"/>
              <w:jc w:val="center"/>
              <w:rPr>
                <w:color w:val="000000"/>
                <w:sz w:val="21"/>
                <w:szCs w:val="21"/>
              </w:rPr>
            </w:pPr>
            <w:r>
              <w:rPr>
                <w:color w:val="000000"/>
                <w:sz w:val="21"/>
                <w:szCs w:val="21"/>
              </w:rPr>
              <w:t>检查</w:t>
            </w:r>
          </w:p>
        </w:tc>
        <w:tc>
          <w:tcPr>
            <w:tcW w:w="291"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食品生产经营（含特殊食品经营）监督检查</w:t>
            </w:r>
          </w:p>
        </w:tc>
        <w:tc>
          <w:tcPr>
            <w:tcW w:w="846"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检查制度、检查标准、检查结果等</w:t>
            </w:r>
          </w:p>
        </w:tc>
        <w:tc>
          <w:tcPr>
            <w:tcW w:w="1024" w:type="pct"/>
            <w:tcBorders>
              <w:top w:val="single" w:color="auto" w:sz="4" w:space="0"/>
              <w:left w:val="single" w:color="auto" w:sz="4" w:space="0"/>
              <w:bottom w:val="single" w:color="auto" w:sz="4" w:space="0"/>
              <w:right w:val="single" w:color="auto" w:sz="4" w:space="0"/>
            </w:tcBorders>
            <w:vAlign w:val="center"/>
          </w:tcPr>
          <w:p>
            <w:pPr>
              <w:spacing w:line="240" w:lineRule="exact"/>
              <w:rPr>
                <w:sz w:val="21"/>
                <w:szCs w:val="21"/>
              </w:rPr>
            </w:pPr>
            <w:r>
              <w:rPr>
                <w:sz w:val="21"/>
                <w:szCs w:val="21"/>
              </w:rPr>
              <w:t>《食品安全法》《政府信息公开条例》《关于全面推进政务公开工作的意见》《食品生产经营日常监督检查管理办法》《食品药品安全监管信息公开管理办法》</w:t>
            </w:r>
          </w:p>
        </w:tc>
        <w:tc>
          <w:tcPr>
            <w:tcW w:w="279"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信息形成或变更之日起20个工作日内</w:t>
            </w:r>
          </w:p>
        </w:tc>
        <w:tc>
          <w:tcPr>
            <w:tcW w:w="279"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rFonts w:hint="eastAsia"/>
                <w:color w:val="000000"/>
                <w:sz w:val="21"/>
                <w:szCs w:val="21"/>
                <w:lang w:eastAsia="zh-CN"/>
              </w:rPr>
              <w:t>端芬镇人民政府</w:t>
            </w:r>
          </w:p>
        </w:tc>
        <w:tc>
          <w:tcPr>
            <w:tcW w:w="575" w:type="pct"/>
            <w:tcBorders>
              <w:top w:val="single" w:color="auto" w:sz="4" w:space="0"/>
              <w:left w:val="single" w:color="auto" w:sz="4" w:space="0"/>
              <w:bottom w:val="single" w:color="auto" w:sz="4" w:space="0"/>
              <w:right w:val="single" w:color="auto" w:sz="4" w:space="0"/>
            </w:tcBorders>
            <w:vAlign w:val="center"/>
          </w:tcPr>
          <w:p>
            <w:pPr>
              <w:widowControl/>
              <w:spacing w:line="240" w:lineRule="exact"/>
              <w:rPr>
                <w:color w:val="000000"/>
                <w:kern w:val="0"/>
                <w:sz w:val="21"/>
                <w:szCs w:val="21"/>
                <w:shd w:val="clear" w:color="auto" w:fill="FFFFFF"/>
              </w:rPr>
            </w:pPr>
            <w:r>
              <w:rPr>
                <w:color w:val="000000"/>
                <w:kern w:val="0"/>
                <w:sz w:val="21"/>
                <w:szCs w:val="21"/>
                <w:shd w:val="clear" w:color="auto" w:fill="FFFFFF"/>
              </w:rPr>
              <w:t>■政府网站</w:t>
            </w:r>
          </w:p>
          <w:p>
            <w:pPr>
              <w:spacing w:line="240" w:lineRule="exact"/>
              <w:rPr>
                <w:color w:val="000000"/>
                <w:sz w:val="21"/>
                <w:szCs w:val="21"/>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w:t>
            </w:r>
          </w:p>
        </w:tc>
        <w:tc>
          <w:tcPr>
            <w:tcW w:w="21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w:t>
            </w:r>
          </w:p>
        </w:tc>
        <w:tc>
          <w:tcPr>
            <w:tcW w:w="21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w:t>
            </w:r>
          </w:p>
        </w:tc>
        <w:tc>
          <w:tcPr>
            <w:tcW w:w="19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w:t>
            </w:r>
          </w:p>
        </w:tc>
      </w:tr>
      <w:tr>
        <w:tblPrEx>
          <w:tblCellMar>
            <w:top w:w="0" w:type="dxa"/>
            <w:left w:w="108" w:type="dxa"/>
            <w:bottom w:w="0" w:type="dxa"/>
            <w:right w:w="108" w:type="dxa"/>
          </w:tblCellMar>
        </w:tblPrEx>
        <w:trPr>
          <w:trHeight w:val="1985" w:hRule="atLeast"/>
          <w:tblHeader/>
          <w:jc w:val="center"/>
        </w:trPr>
        <w:tc>
          <w:tcPr>
            <w:tcW w:w="14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19</w:t>
            </w:r>
          </w:p>
        </w:tc>
        <w:tc>
          <w:tcPr>
            <w:tcW w:w="28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行政</w:t>
            </w:r>
          </w:p>
          <w:p>
            <w:pPr>
              <w:spacing w:line="240" w:lineRule="exact"/>
              <w:jc w:val="center"/>
              <w:rPr>
                <w:color w:val="000000"/>
                <w:sz w:val="21"/>
                <w:szCs w:val="21"/>
              </w:rPr>
            </w:pPr>
            <w:r>
              <w:rPr>
                <w:color w:val="000000"/>
                <w:sz w:val="21"/>
                <w:szCs w:val="21"/>
              </w:rPr>
              <w:t>处罚</w:t>
            </w:r>
          </w:p>
        </w:tc>
        <w:tc>
          <w:tcPr>
            <w:tcW w:w="291"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食品生产经营行政处罚</w:t>
            </w:r>
          </w:p>
        </w:tc>
        <w:tc>
          <w:tcPr>
            <w:tcW w:w="846"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处罚对象、案件名称、违法主要事实、处罚种类和内容、处罚依据、作出处罚决定部门、处罚时间、处罚决定书文号、处罚履行方式和期限等</w:t>
            </w:r>
          </w:p>
        </w:tc>
        <w:tc>
          <w:tcPr>
            <w:tcW w:w="1024"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《政府信息公开条例》《关于全面推进政务公开工作的意见》《食品药品行政处罚案件信息公开实施细则》《市场监督管理行政处罚程序暂行规定》</w:t>
            </w:r>
          </w:p>
        </w:tc>
        <w:tc>
          <w:tcPr>
            <w:tcW w:w="279"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行政处罚决定形成之日起7个工作日内</w:t>
            </w:r>
          </w:p>
        </w:tc>
        <w:tc>
          <w:tcPr>
            <w:tcW w:w="279"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rFonts w:hint="eastAsia"/>
                <w:color w:val="000000"/>
                <w:sz w:val="21"/>
                <w:szCs w:val="21"/>
                <w:lang w:eastAsia="zh-CN"/>
              </w:rPr>
              <w:t>端芬镇人民政府</w:t>
            </w:r>
          </w:p>
        </w:tc>
        <w:tc>
          <w:tcPr>
            <w:tcW w:w="575" w:type="pct"/>
            <w:tcBorders>
              <w:top w:val="single" w:color="auto" w:sz="4" w:space="0"/>
              <w:left w:val="single" w:color="auto" w:sz="4" w:space="0"/>
              <w:bottom w:val="single" w:color="auto" w:sz="4" w:space="0"/>
              <w:right w:val="single" w:color="auto" w:sz="4" w:space="0"/>
            </w:tcBorders>
            <w:vAlign w:val="center"/>
          </w:tcPr>
          <w:p>
            <w:pPr>
              <w:widowControl/>
              <w:spacing w:line="240" w:lineRule="exact"/>
              <w:rPr>
                <w:color w:val="000000"/>
                <w:kern w:val="0"/>
                <w:sz w:val="21"/>
                <w:szCs w:val="21"/>
                <w:shd w:val="clear" w:color="auto" w:fill="FFFFFF"/>
              </w:rPr>
            </w:pPr>
            <w:r>
              <w:rPr>
                <w:color w:val="000000"/>
                <w:kern w:val="0"/>
                <w:sz w:val="21"/>
                <w:szCs w:val="21"/>
                <w:shd w:val="clear" w:color="auto" w:fill="FFFFFF"/>
              </w:rPr>
              <w:t>■政府网站</w:t>
            </w:r>
          </w:p>
          <w:p>
            <w:pPr>
              <w:spacing w:line="240" w:lineRule="exact"/>
              <w:rPr>
                <w:color w:val="000000"/>
                <w:sz w:val="21"/>
                <w:szCs w:val="21"/>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w:t>
            </w:r>
          </w:p>
        </w:tc>
        <w:tc>
          <w:tcPr>
            <w:tcW w:w="21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w:t>
            </w:r>
          </w:p>
        </w:tc>
        <w:tc>
          <w:tcPr>
            <w:tcW w:w="21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w:t>
            </w:r>
          </w:p>
        </w:tc>
        <w:tc>
          <w:tcPr>
            <w:tcW w:w="19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w:t>
            </w:r>
          </w:p>
        </w:tc>
      </w:tr>
      <w:tr>
        <w:tblPrEx>
          <w:tblCellMar>
            <w:top w:w="0" w:type="dxa"/>
            <w:left w:w="108" w:type="dxa"/>
            <w:bottom w:w="0" w:type="dxa"/>
            <w:right w:w="108" w:type="dxa"/>
          </w:tblCellMar>
        </w:tblPrEx>
        <w:trPr>
          <w:trHeight w:val="1985" w:hRule="atLeast"/>
          <w:tblHeader/>
          <w:jc w:val="center"/>
        </w:trPr>
        <w:tc>
          <w:tcPr>
            <w:tcW w:w="14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000000"/>
                <w:sz w:val="21"/>
                <w:szCs w:val="21"/>
              </w:rPr>
            </w:pPr>
            <w:bookmarkStart w:id="0" w:name="_GoBack" w:colFirst="7" w:colLast="7"/>
            <w:r>
              <w:rPr>
                <w:color w:val="000000"/>
                <w:sz w:val="21"/>
                <w:szCs w:val="21"/>
              </w:rPr>
              <w:t>23</w:t>
            </w:r>
          </w:p>
        </w:tc>
        <w:tc>
          <w:tcPr>
            <w:tcW w:w="28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公共</w:t>
            </w:r>
          </w:p>
          <w:p>
            <w:pPr>
              <w:spacing w:line="240" w:lineRule="exact"/>
              <w:jc w:val="center"/>
              <w:rPr>
                <w:color w:val="000000"/>
                <w:sz w:val="21"/>
                <w:szCs w:val="21"/>
              </w:rPr>
            </w:pPr>
            <w:r>
              <w:rPr>
                <w:color w:val="000000"/>
                <w:sz w:val="21"/>
                <w:szCs w:val="21"/>
              </w:rPr>
              <w:t>服务</w:t>
            </w:r>
          </w:p>
        </w:tc>
        <w:tc>
          <w:tcPr>
            <w:tcW w:w="291"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食品安全消费提示警示</w:t>
            </w:r>
          </w:p>
        </w:tc>
        <w:tc>
          <w:tcPr>
            <w:tcW w:w="846"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食品安全消费提示、警示信息</w:t>
            </w:r>
            <w:r>
              <w:rPr>
                <w:rFonts w:hint="eastAsia"/>
                <w:color w:val="000000"/>
                <w:sz w:val="21"/>
                <w:szCs w:val="21"/>
              </w:rPr>
              <w:t>等</w:t>
            </w:r>
          </w:p>
        </w:tc>
        <w:tc>
          <w:tcPr>
            <w:tcW w:w="1024"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《政府信息公开条例》《关于全面推进政务公开工作的意见》</w:t>
            </w:r>
          </w:p>
        </w:tc>
        <w:tc>
          <w:tcPr>
            <w:tcW w:w="279"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信息形成之日起7个工作日内</w:t>
            </w:r>
          </w:p>
        </w:tc>
        <w:tc>
          <w:tcPr>
            <w:tcW w:w="279"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rFonts w:hint="eastAsia"/>
                <w:color w:val="000000"/>
                <w:sz w:val="21"/>
                <w:szCs w:val="21"/>
                <w:lang w:eastAsia="zh-CN"/>
              </w:rPr>
              <w:t>端芬镇人民政府</w:t>
            </w:r>
          </w:p>
        </w:tc>
        <w:tc>
          <w:tcPr>
            <w:tcW w:w="575"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color w:val="000000"/>
                <w:sz w:val="21"/>
                <w:szCs w:val="21"/>
              </w:rPr>
            </w:pPr>
            <w:r>
              <w:rPr>
                <w:color w:val="000000"/>
                <w:kern w:val="0"/>
                <w:sz w:val="21"/>
                <w:szCs w:val="21"/>
                <w:shd w:val="clear" w:color="auto" w:fill="FFFFFF"/>
              </w:rPr>
              <w:t>■政府网站</w:t>
            </w: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w:t>
            </w:r>
          </w:p>
        </w:tc>
        <w:tc>
          <w:tcPr>
            <w:tcW w:w="21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w:t>
            </w:r>
          </w:p>
        </w:tc>
        <w:tc>
          <w:tcPr>
            <w:tcW w:w="21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w:t>
            </w:r>
          </w:p>
        </w:tc>
        <w:tc>
          <w:tcPr>
            <w:tcW w:w="19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w:t>
            </w:r>
          </w:p>
        </w:tc>
      </w:tr>
      <w:tr>
        <w:tblPrEx>
          <w:tblCellMar>
            <w:top w:w="0" w:type="dxa"/>
            <w:left w:w="108" w:type="dxa"/>
            <w:bottom w:w="0" w:type="dxa"/>
            <w:right w:w="108" w:type="dxa"/>
          </w:tblCellMar>
        </w:tblPrEx>
        <w:trPr>
          <w:trHeight w:val="1985" w:hRule="atLeast"/>
          <w:tblHeader/>
          <w:jc w:val="center"/>
        </w:trPr>
        <w:tc>
          <w:tcPr>
            <w:tcW w:w="14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24</w:t>
            </w:r>
          </w:p>
        </w:tc>
        <w:tc>
          <w:tcPr>
            <w:tcW w:w="28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公共</w:t>
            </w:r>
          </w:p>
          <w:p>
            <w:pPr>
              <w:spacing w:line="240" w:lineRule="exact"/>
              <w:jc w:val="center"/>
              <w:rPr>
                <w:color w:val="000000"/>
                <w:sz w:val="21"/>
                <w:szCs w:val="21"/>
              </w:rPr>
            </w:pPr>
            <w:r>
              <w:rPr>
                <w:color w:val="000000"/>
                <w:sz w:val="21"/>
                <w:szCs w:val="21"/>
              </w:rPr>
              <w:t>服务</w:t>
            </w:r>
          </w:p>
        </w:tc>
        <w:tc>
          <w:tcPr>
            <w:tcW w:w="291"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食品安全应急处置</w:t>
            </w:r>
          </w:p>
        </w:tc>
        <w:tc>
          <w:tcPr>
            <w:tcW w:w="846"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应急组织机构及职责、应急保障、监测预警、应急响应、热点问题落实情况等</w:t>
            </w:r>
          </w:p>
        </w:tc>
        <w:tc>
          <w:tcPr>
            <w:tcW w:w="1024"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 xml:space="preserve">《政府信息公开条例》《关于全面推进政务公开工作的意见》 </w:t>
            </w:r>
          </w:p>
        </w:tc>
        <w:tc>
          <w:tcPr>
            <w:tcW w:w="279"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信息形成之日起20个工作日内</w:t>
            </w:r>
          </w:p>
        </w:tc>
        <w:tc>
          <w:tcPr>
            <w:tcW w:w="279"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rFonts w:hint="eastAsia"/>
                <w:color w:val="000000"/>
                <w:sz w:val="21"/>
                <w:szCs w:val="21"/>
                <w:lang w:eastAsia="zh-CN"/>
              </w:rPr>
              <w:t>端芬镇人民政府</w:t>
            </w:r>
          </w:p>
        </w:tc>
        <w:tc>
          <w:tcPr>
            <w:tcW w:w="575"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color w:val="000000"/>
                <w:sz w:val="21"/>
                <w:szCs w:val="21"/>
              </w:rPr>
            </w:pPr>
            <w:r>
              <w:rPr>
                <w:color w:val="000000"/>
                <w:kern w:val="0"/>
                <w:sz w:val="21"/>
                <w:szCs w:val="21"/>
                <w:shd w:val="clear" w:color="auto" w:fill="FFFFFF"/>
              </w:rPr>
              <w:t>■政府网站</w:t>
            </w: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shd w:val="clear" w:color="auto" w:fill="FFFFFF"/>
              </w:rPr>
            </w:pPr>
            <w:r>
              <w:rPr>
                <w:color w:val="000000"/>
                <w:sz w:val="21"/>
                <w:szCs w:val="21"/>
                <w:shd w:val="clear" w:color="auto" w:fill="FFFFFF"/>
              </w:rPr>
              <w:t>√</w:t>
            </w:r>
          </w:p>
        </w:tc>
        <w:tc>
          <w:tcPr>
            <w:tcW w:w="21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shd w:val="clear" w:color="auto" w:fill="FFFFFF"/>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shd w:val="clear" w:color="auto" w:fill="FFFFFF"/>
              </w:rPr>
            </w:pPr>
            <w:r>
              <w:rPr>
                <w:color w:val="000000"/>
                <w:sz w:val="21"/>
                <w:szCs w:val="21"/>
                <w:shd w:val="clear" w:color="auto" w:fill="FFFFFF"/>
              </w:rPr>
              <w:t>√</w:t>
            </w:r>
          </w:p>
        </w:tc>
        <w:tc>
          <w:tcPr>
            <w:tcW w:w="21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shd w:val="clear" w:color="auto" w:fill="FFFFFF"/>
              </w:rPr>
            </w:pPr>
            <w:r>
              <w:rPr>
                <w:color w:val="000000"/>
                <w:sz w:val="21"/>
                <w:szCs w:val="21"/>
                <w:shd w:val="clear" w:color="auto" w:fill="FFFFFF"/>
              </w:rPr>
              <w:t>√</w:t>
            </w:r>
          </w:p>
        </w:tc>
        <w:tc>
          <w:tcPr>
            <w:tcW w:w="19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shd w:val="clear" w:color="auto" w:fill="FFFFFF"/>
              </w:rPr>
              <w:t>√</w:t>
            </w:r>
          </w:p>
        </w:tc>
      </w:tr>
      <w:tr>
        <w:tblPrEx>
          <w:tblCellMar>
            <w:top w:w="0" w:type="dxa"/>
            <w:left w:w="108" w:type="dxa"/>
            <w:bottom w:w="0" w:type="dxa"/>
            <w:right w:w="108" w:type="dxa"/>
          </w:tblCellMar>
        </w:tblPrEx>
        <w:trPr>
          <w:trHeight w:val="1985" w:hRule="atLeast"/>
          <w:tblHeader/>
          <w:jc w:val="center"/>
        </w:trPr>
        <w:tc>
          <w:tcPr>
            <w:tcW w:w="14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25</w:t>
            </w:r>
          </w:p>
        </w:tc>
        <w:tc>
          <w:tcPr>
            <w:tcW w:w="28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公共</w:t>
            </w:r>
          </w:p>
          <w:p>
            <w:pPr>
              <w:spacing w:line="240" w:lineRule="exact"/>
              <w:jc w:val="center"/>
              <w:rPr>
                <w:color w:val="000000"/>
                <w:sz w:val="21"/>
                <w:szCs w:val="21"/>
              </w:rPr>
            </w:pPr>
            <w:r>
              <w:rPr>
                <w:color w:val="000000"/>
                <w:sz w:val="21"/>
                <w:szCs w:val="21"/>
              </w:rPr>
              <w:t>服务</w:t>
            </w:r>
          </w:p>
        </w:tc>
        <w:tc>
          <w:tcPr>
            <w:tcW w:w="291"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食品药品投诉举报</w:t>
            </w:r>
          </w:p>
        </w:tc>
        <w:tc>
          <w:tcPr>
            <w:tcW w:w="846"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食品药品投诉举报管理制度和政策、受理投诉举报的途径等</w:t>
            </w:r>
          </w:p>
        </w:tc>
        <w:tc>
          <w:tcPr>
            <w:tcW w:w="1024"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《政府信息公开条例》、《关于全面推进政务公开工作的意见》《市场监督管理投诉举报处理暂行办法》</w:t>
            </w:r>
          </w:p>
        </w:tc>
        <w:tc>
          <w:tcPr>
            <w:tcW w:w="279"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信息形成之日起20个工作日内</w:t>
            </w:r>
          </w:p>
        </w:tc>
        <w:tc>
          <w:tcPr>
            <w:tcW w:w="279"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rFonts w:hint="eastAsia"/>
                <w:color w:val="000000"/>
                <w:sz w:val="21"/>
                <w:szCs w:val="21"/>
                <w:lang w:eastAsia="zh-CN"/>
              </w:rPr>
              <w:t>端芬镇人民政府</w:t>
            </w:r>
          </w:p>
        </w:tc>
        <w:tc>
          <w:tcPr>
            <w:tcW w:w="575"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color w:val="000000"/>
                <w:sz w:val="21"/>
                <w:szCs w:val="21"/>
              </w:rPr>
            </w:pPr>
            <w:r>
              <w:rPr>
                <w:color w:val="000000"/>
                <w:kern w:val="0"/>
                <w:sz w:val="21"/>
                <w:szCs w:val="21"/>
                <w:shd w:val="clear" w:color="auto" w:fill="FFFFFF"/>
              </w:rPr>
              <w:t>■政府网站</w:t>
            </w: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shd w:val="clear" w:color="auto" w:fill="FFFFFF"/>
              </w:rPr>
            </w:pPr>
            <w:r>
              <w:rPr>
                <w:color w:val="000000"/>
                <w:sz w:val="21"/>
                <w:szCs w:val="21"/>
                <w:shd w:val="clear" w:color="auto" w:fill="FFFFFF"/>
              </w:rPr>
              <w:t>√</w:t>
            </w:r>
          </w:p>
        </w:tc>
        <w:tc>
          <w:tcPr>
            <w:tcW w:w="21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shd w:val="clear" w:color="auto" w:fill="FFFFFF"/>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shd w:val="clear" w:color="auto" w:fill="FFFFFF"/>
              </w:rPr>
            </w:pPr>
            <w:r>
              <w:rPr>
                <w:color w:val="000000"/>
                <w:sz w:val="21"/>
                <w:szCs w:val="21"/>
                <w:shd w:val="clear" w:color="auto" w:fill="FFFFFF"/>
              </w:rPr>
              <w:t>√</w:t>
            </w:r>
          </w:p>
        </w:tc>
        <w:tc>
          <w:tcPr>
            <w:tcW w:w="21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shd w:val="clear" w:color="auto" w:fill="FFFFFF"/>
              </w:rPr>
            </w:pPr>
            <w:r>
              <w:rPr>
                <w:color w:val="000000"/>
                <w:sz w:val="21"/>
                <w:szCs w:val="21"/>
                <w:shd w:val="clear" w:color="auto" w:fill="FFFFFF"/>
              </w:rPr>
              <w:t>√</w:t>
            </w:r>
          </w:p>
        </w:tc>
        <w:tc>
          <w:tcPr>
            <w:tcW w:w="19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shd w:val="clear" w:color="auto" w:fill="FFFFFF"/>
              </w:rPr>
              <w:t>√</w:t>
            </w:r>
          </w:p>
        </w:tc>
      </w:tr>
      <w:tr>
        <w:tblPrEx>
          <w:tblCellMar>
            <w:top w:w="0" w:type="dxa"/>
            <w:left w:w="108" w:type="dxa"/>
            <w:bottom w:w="0" w:type="dxa"/>
            <w:right w:w="108" w:type="dxa"/>
          </w:tblCellMar>
        </w:tblPrEx>
        <w:trPr>
          <w:trHeight w:val="1985" w:hRule="atLeast"/>
          <w:tblHeader/>
          <w:jc w:val="center"/>
        </w:trPr>
        <w:tc>
          <w:tcPr>
            <w:tcW w:w="14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26</w:t>
            </w:r>
          </w:p>
        </w:tc>
        <w:tc>
          <w:tcPr>
            <w:tcW w:w="28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公共</w:t>
            </w:r>
          </w:p>
          <w:p>
            <w:pPr>
              <w:spacing w:line="240" w:lineRule="exact"/>
              <w:jc w:val="center"/>
              <w:rPr>
                <w:color w:val="000000"/>
                <w:sz w:val="21"/>
                <w:szCs w:val="21"/>
              </w:rPr>
            </w:pPr>
            <w:r>
              <w:rPr>
                <w:color w:val="000000"/>
                <w:sz w:val="21"/>
                <w:szCs w:val="21"/>
              </w:rPr>
              <w:t>服务</w:t>
            </w:r>
          </w:p>
        </w:tc>
        <w:tc>
          <w:tcPr>
            <w:tcW w:w="291"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食品用药安全宣传活动</w:t>
            </w:r>
          </w:p>
        </w:tc>
        <w:tc>
          <w:tcPr>
            <w:tcW w:w="846"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活动时间、活动地点、活动形式、活动主题和内容等</w:t>
            </w:r>
          </w:p>
        </w:tc>
        <w:tc>
          <w:tcPr>
            <w:tcW w:w="1024"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《政府信息公开条例》、《关于全面推进政务公开工作的意见》</w:t>
            </w:r>
          </w:p>
        </w:tc>
        <w:tc>
          <w:tcPr>
            <w:tcW w:w="279"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color w:val="000000"/>
                <w:sz w:val="21"/>
                <w:szCs w:val="21"/>
              </w:rPr>
              <w:t>信息形成之日起7个工作日内</w:t>
            </w:r>
          </w:p>
        </w:tc>
        <w:tc>
          <w:tcPr>
            <w:tcW w:w="279" w:type="pct"/>
            <w:tcBorders>
              <w:top w:val="single" w:color="auto" w:sz="4" w:space="0"/>
              <w:left w:val="single" w:color="auto" w:sz="4" w:space="0"/>
              <w:bottom w:val="single" w:color="auto" w:sz="4" w:space="0"/>
              <w:right w:val="single" w:color="auto" w:sz="4" w:space="0"/>
            </w:tcBorders>
            <w:vAlign w:val="center"/>
          </w:tcPr>
          <w:p>
            <w:pPr>
              <w:spacing w:line="240" w:lineRule="exact"/>
              <w:rPr>
                <w:color w:val="000000"/>
                <w:sz w:val="21"/>
                <w:szCs w:val="21"/>
              </w:rPr>
            </w:pPr>
            <w:r>
              <w:rPr>
                <w:rFonts w:hint="eastAsia"/>
                <w:color w:val="000000"/>
                <w:sz w:val="21"/>
                <w:szCs w:val="21"/>
                <w:lang w:eastAsia="zh-CN"/>
              </w:rPr>
              <w:t>端芬镇人民政府</w:t>
            </w:r>
          </w:p>
        </w:tc>
        <w:tc>
          <w:tcPr>
            <w:tcW w:w="575"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color w:val="000000"/>
                <w:sz w:val="21"/>
                <w:szCs w:val="21"/>
              </w:rPr>
            </w:pPr>
            <w:r>
              <w:rPr>
                <w:color w:val="000000"/>
                <w:kern w:val="0"/>
                <w:sz w:val="21"/>
                <w:szCs w:val="21"/>
                <w:shd w:val="clear" w:color="auto" w:fill="FFFFFF"/>
              </w:rPr>
              <w:t>■政府网站</w:t>
            </w: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shd w:val="clear" w:color="auto" w:fill="FFFFFF"/>
              </w:rPr>
            </w:pPr>
            <w:r>
              <w:rPr>
                <w:color w:val="000000"/>
                <w:sz w:val="21"/>
                <w:szCs w:val="21"/>
                <w:shd w:val="clear" w:color="auto" w:fill="FFFFFF"/>
              </w:rPr>
              <w:t>√</w:t>
            </w:r>
          </w:p>
        </w:tc>
        <w:tc>
          <w:tcPr>
            <w:tcW w:w="21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shd w:val="clear" w:color="auto" w:fill="FFFFFF"/>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shd w:val="clear" w:color="auto" w:fill="FFFFFF"/>
              </w:rPr>
            </w:pPr>
            <w:r>
              <w:rPr>
                <w:color w:val="000000"/>
                <w:sz w:val="21"/>
                <w:szCs w:val="21"/>
                <w:shd w:val="clear" w:color="auto" w:fill="FFFFFF"/>
              </w:rPr>
              <w:t>√</w:t>
            </w:r>
          </w:p>
        </w:tc>
        <w:tc>
          <w:tcPr>
            <w:tcW w:w="217"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rPr>
            </w:pPr>
          </w:p>
        </w:tc>
        <w:tc>
          <w:tcPr>
            <w:tcW w:w="215" w:type="pct"/>
            <w:tcBorders>
              <w:top w:val="single" w:color="auto" w:sz="4" w:space="0"/>
              <w:left w:val="nil"/>
              <w:bottom w:val="single" w:color="auto" w:sz="4" w:space="0"/>
              <w:right w:val="single" w:color="auto" w:sz="4" w:space="0"/>
            </w:tcBorders>
            <w:vAlign w:val="center"/>
          </w:tcPr>
          <w:p>
            <w:pPr>
              <w:spacing w:line="240" w:lineRule="exact"/>
              <w:jc w:val="center"/>
              <w:rPr>
                <w:color w:val="000000"/>
                <w:sz w:val="21"/>
                <w:szCs w:val="21"/>
                <w:shd w:val="clear" w:color="auto" w:fill="FFFFFF"/>
              </w:rPr>
            </w:pPr>
            <w:r>
              <w:rPr>
                <w:color w:val="000000"/>
                <w:sz w:val="21"/>
                <w:szCs w:val="21"/>
                <w:shd w:val="clear" w:color="auto" w:fill="FFFFFF"/>
              </w:rPr>
              <w:t>√</w:t>
            </w:r>
          </w:p>
        </w:tc>
        <w:tc>
          <w:tcPr>
            <w:tcW w:w="19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shd w:val="clear" w:color="auto" w:fill="FFFFFF"/>
              </w:rPr>
              <w:t>√</w:t>
            </w:r>
          </w:p>
        </w:tc>
      </w:tr>
      <w:bookmarkEnd w:id="0"/>
    </w:tbl>
    <w:p/>
    <w:sectPr>
      <w:footerReference r:id="rId3" w:type="default"/>
      <w:pgSz w:w="16838" w:h="11906" w:orient="landscape"/>
      <w:pgMar w:top="1418" w:right="851" w:bottom="1134"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5611904"/>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74F"/>
    <w:rsid w:val="00021208"/>
    <w:rsid w:val="001D38A7"/>
    <w:rsid w:val="002821CD"/>
    <w:rsid w:val="0028374F"/>
    <w:rsid w:val="00286119"/>
    <w:rsid w:val="006D4D38"/>
    <w:rsid w:val="00756EBF"/>
    <w:rsid w:val="00982047"/>
    <w:rsid w:val="00C738A7"/>
    <w:rsid w:val="00C94C46"/>
    <w:rsid w:val="00CE123F"/>
    <w:rsid w:val="00D55C08"/>
    <w:rsid w:val="72105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仿宋_GB2312" w:cs="Times New Roman"/>
      <w:sz w:val="18"/>
      <w:szCs w:val="18"/>
    </w:rPr>
  </w:style>
  <w:style w:type="character" w:customStyle="1" w:styleId="7">
    <w:name w:val="页脚 Char"/>
    <w:basedOn w:val="5"/>
    <w:link w:val="2"/>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445DB1-8BE2-4E58-8C09-0EF1EDA121C6}">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7</Pages>
  <Words>753</Words>
  <Characters>4298</Characters>
  <Lines>35</Lines>
  <Paragraphs>10</Paragraphs>
  <TotalTime>0</TotalTime>
  <ScaleCrop>false</ScaleCrop>
  <LinksUpToDate>false</LinksUpToDate>
  <CharactersWithSpaces>5041</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2020-11-03T03:58:00Z</dcterms:created>
  <dc:creator>何雯雯</dc:creator>
  <cp:lastModifiedBy>Administrator</cp:lastModifiedBy>
  <dcterms:modified xsi:type="dcterms:W3CDTF">2020-11-20T08:40:00Z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