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方正小标宋简体" w:eastAsia="方正小标宋简体"/>
          <w:b w:val="0"/>
          <w:sz w:val="36"/>
          <w:szCs w:val="36"/>
        </w:rPr>
      </w:pPr>
      <w:r>
        <w:rPr>
          <w:rFonts w:hint="eastAsia" w:ascii="方正小标宋简体" w:eastAsia="方正小标宋简体"/>
          <w:b w:val="0"/>
          <w:sz w:val="36"/>
          <w:szCs w:val="36"/>
        </w:rPr>
        <w:t>（十八）城市综合执法领域基层政务公开标准目录</w:t>
      </w:r>
    </w:p>
    <w:tbl>
      <w:tblPr>
        <w:tblStyle w:val="5"/>
        <w:tblW w:w="144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1"/>
        <w:gridCol w:w="638"/>
        <w:gridCol w:w="1372"/>
        <w:gridCol w:w="1882"/>
        <w:gridCol w:w="950"/>
        <w:gridCol w:w="1261"/>
        <w:gridCol w:w="1137"/>
        <w:gridCol w:w="3004"/>
        <w:gridCol w:w="618"/>
        <w:gridCol w:w="619"/>
        <w:gridCol w:w="618"/>
        <w:gridCol w:w="619"/>
        <w:gridCol w:w="618"/>
        <w:gridCol w:w="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jc w:val="center"/>
        </w:trPr>
        <w:tc>
          <w:tcPr>
            <w:tcW w:w="541" w:type="dxa"/>
            <w:vMerge w:val="restart"/>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序号</w:t>
            </w:r>
          </w:p>
          <w:p>
            <w:pPr>
              <w:widowControl/>
              <w:jc w:val="center"/>
              <w:rPr>
                <w:rFonts w:ascii="宋体" w:hAnsi="宋体" w:eastAsia="宋体" w:cs="宋体"/>
                <w:b/>
                <w:bCs/>
                <w:color w:val="000000"/>
                <w:kern w:val="0"/>
                <w:sz w:val="18"/>
                <w:szCs w:val="18"/>
              </w:rPr>
            </w:pPr>
            <w:r>
              <w:rPr>
                <w:rFonts w:hint="eastAsia" w:ascii="宋体" w:hAnsi="宋体" w:eastAsia="宋体" w:cs="宋体"/>
                <w:kern w:val="0"/>
                <w:sz w:val="18"/>
                <w:szCs w:val="18"/>
              </w:rPr>
              <w:t>1</w:t>
            </w:r>
          </w:p>
        </w:tc>
        <w:tc>
          <w:tcPr>
            <w:tcW w:w="2010" w:type="dxa"/>
            <w:gridSpan w:val="2"/>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公开事项</w:t>
            </w:r>
          </w:p>
        </w:tc>
        <w:tc>
          <w:tcPr>
            <w:tcW w:w="1882" w:type="dxa"/>
            <w:vMerge w:val="restart"/>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公开内容</w:t>
            </w:r>
          </w:p>
        </w:tc>
        <w:tc>
          <w:tcPr>
            <w:tcW w:w="950" w:type="dxa"/>
            <w:vMerge w:val="restart"/>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公开依据</w:t>
            </w:r>
          </w:p>
        </w:tc>
        <w:tc>
          <w:tcPr>
            <w:tcW w:w="1261" w:type="dxa"/>
            <w:vMerge w:val="restart"/>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w:t>
            </w:r>
            <w:r>
              <w:rPr>
                <w:rFonts w:hint="eastAsia" w:ascii="宋体" w:hAnsi="宋体" w:eastAsia="宋体" w:cs="宋体"/>
                <w:b/>
                <w:bCs/>
                <w:color w:val="000000"/>
                <w:kern w:val="0"/>
                <w:sz w:val="18"/>
                <w:szCs w:val="18"/>
              </w:rPr>
              <w:br w:type="textWrapping"/>
            </w:r>
            <w:r>
              <w:rPr>
                <w:rFonts w:hint="eastAsia" w:ascii="宋体" w:hAnsi="宋体" w:eastAsia="宋体" w:cs="宋体"/>
                <w:b/>
                <w:bCs/>
                <w:color w:val="000000"/>
                <w:kern w:val="0"/>
                <w:sz w:val="18"/>
                <w:szCs w:val="18"/>
              </w:rPr>
              <w:t>时限</w:t>
            </w:r>
          </w:p>
        </w:tc>
        <w:tc>
          <w:tcPr>
            <w:tcW w:w="1137" w:type="dxa"/>
            <w:vMerge w:val="restart"/>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w:t>
            </w:r>
            <w:r>
              <w:rPr>
                <w:rFonts w:hint="eastAsia" w:ascii="宋体" w:hAnsi="宋体" w:eastAsia="宋体" w:cs="宋体"/>
                <w:b/>
                <w:bCs/>
                <w:color w:val="000000"/>
                <w:kern w:val="0"/>
                <w:sz w:val="18"/>
                <w:szCs w:val="18"/>
              </w:rPr>
              <w:br w:type="textWrapping"/>
            </w:r>
            <w:r>
              <w:rPr>
                <w:rFonts w:hint="eastAsia" w:ascii="宋体" w:hAnsi="宋体" w:eastAsia="宋体" w:cs="宋体"/>
                <w:b/>
                <w:bCs/>
                <w:color w:val="000000"/>
                <w:kern w:val="0"/>
                <w:sz w:val="18"/>
                <w:szCs w:val="18"/>
              </w:rPr>
              <w:t>主体</w:t>
            </w:r>
          </w:p>
        </w:tc>
        <w:tc>
          <w:tcPr>
            <w:tcW w:w="3004" w:type="dxa"/>
            <w:vMerge w:val="restart"/>
            <w:shd w:val="clear" w:color="auto" w:fill="auto"/>
            <w:vAlign w:val="center"/>
          </w:tcPr>
          <w:p>
            <w:pPr>
              <w:widowControl/>
              <w:jc w:val="lef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xml:space="preserve">        公开渠道和载体                      （“■”表示必选项，“□”表示可选项）</w:t>
            </w:r>
          </w:p>
        </w:tc>
        <w:tc>
          <w:tcPr>
            <w:tcW w:w="1237" w:type="dxa"/>
            <w:gridSpan w:val="2"/>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公开对象</w:t>
            </w:r>
          </w:p>
        </w:tc>
        <w:tc>
          <w:tcPr>
            <w:tcW w:w="1237" w:type="dxa"/>
            <w:gridSpan w:val="2"/>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公开方式</w:t>
            </w:r>
          </w:p>
        </w:tc>
        <w:tc>
          <w:tcPr>
            <w:tcW w:w="1237" w:type="dxa"/>
            <w:gridSpan w:val="2"/>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214" w:hRule="atLeast"/>
          <w:jc w:val="center"/>
        </w:trPr>
        <w:tc>
          <w:tcPr>
            <w:tcW w:w="541" w:type="dxa"/>
            <w:vMerge w:val="continue"/>
            <w:shd w:val="clear" w:color="auto" w:fill="auto"/>
            <w:vAlign w:val="center"/>
          </w:tcPr>
          <w:p>
            <w:pPr>
              <w:widowControl/>
              <w:jc w:val="left"/>
              <w:rPr>
                <w:rFonts w:ascii="宋体" w:hAnsi="宋体" w:eastAsia="宋体" w:cs="宋体"/>
                <w:b/>
                <w:bCs/>
                <w:color w:val="000000"/>
                <w:kern w:val="0"/>
                <w:sz w:val="18"/>
                <w:szCs w:val="18"/>
              </w:rPr>
            </w:pPr>
          </w:p>
        </w:tc>
        <w:tc>
          <w:tcPr>
            <w:tcW w:w="638" w:type="dxa"/>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一级事项</w:t>
            </w:r>
          </w:p>
        </w:tc>
        <w:tc>
          <w:tcPr>
            <w:tcW w:w="1372" w:type="dxa"/>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二级事项</w:t>
            </w:r>
          </w:p>
        </w:tc>
        <w:tc>
          <w:tcPr>
            <w:tcW w:w="1882" w:type="dxa"/>
            <w:vMerge w:val="continue"/>
            <w:vAlign w:val="center"/>
          </w:tcPr>
          <w:p>
            <w:pPr>
              <w:widowControl/>
              <w:jc w:val="left"/>
              <w:rPr>
                <w:rFonts w:ascii="宋体" w:hAnsi="宋体" w:eastAsia="宋体" w:cs="宋体"/>
                <w:b/>
                <w:bCs/>
                <w:color w:val="000000"/>
                <w:kern w:val="0"/>
                <w:sz w:val="18"/>
                <w:szCs w:val="18"/>
              </w:rPr>
            </w:pPr>
          </w:p>
        </w:tc>
        <w:tc>
          <w:tcPr>
            <w:tcW w:w="950" w:type="dxa"/>
            <w:vMerge w:val="continue"/>
            <w:vAlign w:val="center"/>
          </w:tcPr>
          <w:p>
            <w:pPr>
              <w:widowControl/>
              <w:jc w:val="left"/>
              <w:rPr>
                <w:rFonts w:ascii="宋体" w:hAnsi="宋体" w:eastAsia="宋体" w:cs="宋体"/>
                <w:b/>
                <w:bCs/>
                <w:color w:val="000000"/>
                <w:kern w:val="0"/>
                <w:sz w:val="18"/>
                <w:szCs w:val="18"/>
              </w:rPr>
            </w:pPr>
          </w:p>
        </w:tc>
        <w:tc>
          <w:tcPr>
            <w:tcW w:w="1261" w:type="dxa"/>
            <w:vMerge w:val="continue"/>
            <w:vAlign w:val="center"/>
          </w:tcPr>
          <w:p>
            <w:pPr>
              <w:widowControl/>
              <w:jc w:val="left"/>
              <w:rPr>
                <w:rFonts w:ascii="宋体" w:hAnsi="宋体" w:eastAsia="宋体" w:cs="宋体"/>
                <w:b/>
                <w:bCs/>
                <w:color w:val="000000"/>
                <w:kern w:val="0"/>
                <w:sz w:val="18"/>
                <w:szCs w:val="18"/>
              </w:rPr>
            </w:pPr>
          </w:p>
        </w:tc>
        <w:tc>
          <w:tcPr>
            <w:tcW w:w="1137" w:type="dxa"/>
            <w:vMerge w:val="continue"/>
            <w:vAlign w:val="center"/>
          </w:tcPr>
          <w:p>
            <w:pPr>
              <w:widowControl/>
              <w:jc w:val="left"/>
              <w:rPr>
                <w:rFonts w:ascii="宋体" w:hAnsi="宋体" w:eastAsia="宋体" w:cs="宋体"/>
                <w:b/>
                <w:bCs/>
                <w:color w:val="000000"/>
                <w:kern w:val="0"/>
                <w:sz w:val="18"/>
                <w:szCs w:val="18"/>
              </w:rPr>
            </w:pPr>
          </w:p>
        </w:tc>
        <w:tc>
          <w:tcPr>
            <w:tcW w:w="3004" w:type="dxa"/>
            <w:vMerge w:val="continue"/>
            <w:vAlign w:val="center"/>
          </w:tcPr>
          <w:p>
            <w:pPr>
              <w:widowControl/>
              <w:jc w:val="left"/>
              <w:rPr>
                <w:rFonts w:ascii="宋体" w:hAnsi="宋体" w:eastAsia="宋体" w:cs="宋体"/>
                <w:b/>
                <w:bCs/>
                <w:color w:val="000000"/>
                <w:kern w:val="0"/>
                <w:sz w:val="18"/>
                <w:szCs w:val="18"/>
              </w:rPr>
            </w:pPr>
          </w:p>
        </w:tc>
        <w:tc>
          <w:tcPr>
            <w:tcW w:w="618" w:type="dxa"/>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全社会</w:t>
            </w:r>
          </w:p>
        </w:tc>
        <w:tc>
          <w:tcPr>
            <w:tcW w:w="619" w:type="dxa"/>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特定群体</w:t>
            </w:r>
          </w:p>
        </w:tc>
        <w:tc>
          <w:tcPr>
            <w:tcW w:w="618" w:type="dxa"/>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主动</w:t>
            </w:r>
          </w:p>
        </w:tc>
        <w:tc>
          <w:tcPr>
            <w:tcW w:w="619" w:type="dxa"/>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依申请</w:t>
            </w:r>
          </w:p>
        </w:tc>
        <w:tc>
          <w:tcPr>
            <w:tcW w:w="618" w:type="dxa"/>
            <w:shd w:val="clear" w:color="auto" w:fill="auto"/>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镇级</w:t>
            </w:r>
          </w:p>
        </w:tc>
        <w:tc>
          <w:tcPr>
            <w:tcW w:w="619" w:type="dxa"/>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lang w:val="en-US" w:eastAsia="zh-CN"/>
              </w:rPr>
              <w:t>村</w:t>
            </w:r>
            <w:r>
              <w:rPr>
                <w:rFonts w:hint="eastAsia" w:ascii="宋体" w:hAnsi="宋体" w:eastAsia="宋体" w:cs="宋体"/>
                <w:b/>
                <w:bCs/>
                <w:color w:val="000000"/>
                <w:kern w:val="0"/>
                <w:sz w:val="20"/>
                <w:szCs w:val="20"/>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不符合预售条件预售商品房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《城市房地产管理法》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未取得资质等级证书或者超越资质等级从事房地产开发经营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《城市房地产开发经营管理条例》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擅自预售商品房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《城市房地产开发经营管理条例》                                                                                                                                      《商品房销售管理办法》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bookmarkStart w:id="0" w:name="_GoBack"/>
            <w:bookmarkEnd w:id="0"/>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房产测绘单位在房产面积测算中不执行国家标准、规范和规定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《房产测绘管理办法》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房产测绘单位在房产面积测算中弄虚作假、欺骗房屋权利人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《房产测绘管理办法》</w:t>
            </w:r>
            <w:r>
              <w:rPr>
                <w:rFonts w:hint="eastAsia" w:ascii="宋体" w:hAnsi="宋体" w:eastAsia="宋体" w:cs="宋体"/>
                <w:kern w:val="0"/>
                <w:sz w:val="18"/>
                <w:szCs w:val="18"/>
              </w:rPr>
              <w:br w:type="page"/>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房产测绘单位房产面积测算失误，造成重大损失</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《房产测绘管理办法》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房地产经纪人员以个人名义承接房地产经纪业务和收取费用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99"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房地产经纪机构提供代办贷款、代办房地产登记等其他服务，未向委托人说明服务内容、收费标准等情况，并未经委托人同意</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房地产经纪服务合同未由从事该业务的一名房地产经纪人或者两名房地产经纪人协理签名</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r>
              <w:rPr>
                <w:rFonts w:hint="eastAsia" w:ascii="宋体" w:hAnsi="宋体" w:eastAsia="宋体" w:cs="宋体"/>
                <w:kern w:val="0"/>
                <w:sz w:val="18"/>
                <w:szCs w:val="18"/>
              </w:rPr>
              <w:br w:type="page"/>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房地产经纪机构签订房地产经纪服务合同前，不向交易当事人说明和书面告知规定事项</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734"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房地产经纪机构未按照规定如实记录业务情况或者保存房地产经纪服务合同</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房地产经纪机构擅自对外发布房源信息</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房地产经纪机构擅自划转客户交易结算资金</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r>
              <w:rPr>
                <w:rFonts w:hint="eastAsia" w:ascii="宋体" w:hAnsi="宋体" w:eastAsia="宋体" w:cs="宋体"/>
                <w:kern w:val="0"/>
                <w:sz w:val="18"/>
                <w:szCs w:val="18"/>
              </w:rPr>
              <w:br w:type="page"/>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房地产经纪机构和房地产经纪人员以隐瞒、欺诈、胁迫、贿赂等不正当手段招揽业务，诱骗消费者交易或者强制交易</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房地产经纪机构和房地产经纪人员泄露或者不当使用委托人的个人信息或者商业秘密，谋取不正当利益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为交易当事人规避房屋交易税费等非法目的，房地产经纪机构和房地产经纪人员就同一房屋签订不同交易价款的合同提供便利</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房地产经纪机构和房地产经纪人员改变房屋内部结构分割出租</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r>
              <w:rPr>
                <w:rFonts w:hint="eastAsia" w:ascii="宋体" w:hAnsi="宋体" w:eastAsia="宋体" w:cs="宋体"/>
                <w:kern w:val="0"/>
                <w:sz w:val="18"/>
                <w:szCs w:val="18"/>
              </w:rPr>
              <w:br w:type="page"/>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房地产经纪机构和房地产经纪人员侵占、挪用房地产交易资金</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房地产经纪机构和房地产经纪人员承购、承租自己提供经纪服务的房屋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房地产经纪机构和房地产经纪人员为不符合交易条件的保障性住房和禁止交易的房屋提供经纪服务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房地产经纪机构和房地产经纪人员做出法律、法规禁止的其他行为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《房地产经纪管理办法》</w:t>
            </w:r>
            <w:r>
              <w:rPr>
                <w:rFonts w:hint="eastAsia" w:ascii="宋体" w:hAnsi="宋体" w:eastAsia="宋体" w:cs="宋体"/>
                <w:kern w:val="0"/>
                <w:sz w:val="18"/>
                <w:szCs w:val="18"/>
              </w:rPr>
              <w:br w:type="page"/>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申请人隐瞒有关情况或者提供虚假材料申请房地产估价机构资质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以欺骗、贿赂等不正当手段取得房地产估价机构资质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未取得房地产估价机构资质从事房地产估价活动或者超越资质等级承揽估价业务    </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房地产估价机构不及时办理资质证书变更手续</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r>
              <w:rPr>
                <w:rFonts w:hint="eastAsia" w:ascii="宋体" w:hAnsi="宋体" w:eastAsia="宋体" w:cs="宋体"/>
                <w:kern w:val="0"/>
                <w:sz w:val="18"/>
                <w:szCs w:val="18"/>
              </w:rPr>
              <w:br w:type="page"/>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一级资质房地产估价机构不按规定设立分支机构，或二、三级资质房地产估价机构设立分支机构</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房地产估价机构不按照规定条件设立分支机构</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房地产估计机构新设立的分支机构不备案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房地产估价机构不按规定承揽业务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r>
              <w:rPr>
                <w:rFonts w:hint="eastAsia" w:ascii="宋体" w:hAnsi="宋体" w:eastAsia="宋体" w:cs="宋体"/>
                <w:kern w:val="0"/>
                <w:sz w:val="18"/>
                <w:szCs w:val="18"/>
              </w:rPr>
              <w:br w:type="page"/>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房地产估价机构不按规定出具估价报告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房地产估价机构及其估价人员应当回避未回避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房地产估价机构涂改、倒卖、出租、出借或者以其他形式非法转让资质证书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房地产估价机构超越资质等级业务范围承接房地产估价业务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r>
              <w:rPr>
                <w:rFonts w:hint="eastAsia" w:ascii="宋体" w:hAnsi="宋体" w:eastAsia="宋体" w:cs="宋体"/>
                <w:kern w:val="0"/>
                <w:sz w:val="18"/>
                <w:szCs w:val="18"/>
              </w:rPr>
              <w:br w:type="page"/>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房地产估价机构以迎合高估或者低估要求、给予回扣、恶意压低收费等方式进行不正当竞争</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房地产估价机构违反房地产估价规范和标准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房地产估价机构出具有虚假记载、误导性陈述或者重大遗漏的估价报告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房地产估价机构擅自设立分支机构</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r>
              <w:rPr>
                <w:rFonts w:hint="eastAsia" w:ascii="宋体" w:hAnsi="宋体" w:eastAsia="宋体" w:cs="宋体"/>
                <w:kern w:val="0"/>
                <w:sz w:val="18"/>
                <w:szCs w:val="18"/>
              </w:rPr>
              <w:br w:type="page"/>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房地产估价机构未经委托人书面同意，擅自转让受托的估价业务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房地产估价机构有法律、法规禁止的其他行为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《房地产估价机构管理办法》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公共租赁住房的所有权人及其委托的运营单位向不符合条件的对象出租公共租赁住房的</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公共租赁住房的所有权人及其委托的运营单位未履行公共租赁住房及其配套设施维修养护义务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r>
              <w:rPr>
                <w:rFonts w:hint="eastAsia" w:ascii="宋体" w:hAnsi="宋体" w:eastAsia="宋体" w:cs="宋体"/>
                <w:kern w:val="0"/>
                <w:sz w:val="18"/>
                <w:szCs w:val="18"/>
              </w:rPr>
              <w:br w:type="page"/>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公共租赁住房的所有权人及其委托的运营单位改变公共租赁住房的保障性住房性质、用途，以及配套设施的规划用途</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申请人隐瞒有关情况或者提供虚假材料申请公共租赁住房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申请人以欺骗等不正手段，登记为轮候对象或者承租公共租赁住房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承租人转借、转租或者擅自调换所承租公共租赁住房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r>
              <w:rPr>
                <w:rFonts w:hint="eastAsia" w:ascii="宋体" w:hAnsi="宋体" w:eastAsia="宋体" w:cs="宋体"/>
                <w:kern w:val="0"/>
                <w:sz w:val="18"/>
                <w:szCs w:val="18"/>
              </w:rPr>
              <w:br w:type="page"/>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承租人改变所承租公共租赁住房用途</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承租人破坏或者擅自装修所承租公共租赁住房，拒不恢复原状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承租人在公共租赁住房内从事违法活动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承租人无正当理由连续6个月以上闲置公共租赁住房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r>
              <w:rPr>
                <w:rFonts w:hint="eastAsia" w:ascii="宋体" w:hAnsi="宋体" w:eastAsia="宋体" w:cs="宋体"/>
                <w:kern w:val="0"/>
                <w:sz w:val="18"/>
                <w:szCs w:val="18"/>
              </w:rPr>
              <w:br w:type="page"/>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房地产经纪机构及其经纪人员提供公共租赁住房出租、转租、出售等经纪业务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《公共租赁住房管理办法》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《房地产经纪管理办法》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出租属于违法建筑的房屋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《商品房屋租赁管理办法》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出租不符合安全、防灾等工程建设强制性标准的房屋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《商品房屋租赁管理办法》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出租违反规定改变房屋使用性质的房屋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page"/>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page"/>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page"/>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page"/>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page"/>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page"/>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《商品房屋租赁管理办法》</w:t>
            </w:r>
            <w:r>
              <w:rPr>
                <w:rFonts w:hint="eastAsia" w:ascii="宋体" w:hAnsi="宋体" w:eastAsia="宋体" w:cs="宋体"/>
                <w:kern w:val="0"/>
                <w:sz w:val="18"/>
                <w:szCs w:val="18"/>
              </w:rPr>
              <w:br w:type="page"/>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page"/>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出租法律、法规规定禁止出租的房屋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《商品房屋租赁管理办法》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未以原设计的房间为最小出租单位，或人均租住建筑面积低于当地人民政府规定的最低标准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《商品房屋租赁管理办法》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出租厨房、卫生间、阳台和地下储藏室供人员居住</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《商品房屋租赁管理办法》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房屋租赁合同订立后三十日内，房屋租赁当事人未按规定办理房屋租赁登记备案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《商品房屋租赁管理办法》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房屋租赁登记备案内容发生变化、续租或者租赁终止后三十日内，当事人未按规定办理房屋租赁登记备案的变更、延续或者注销手续</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《商品房屋租赁管理办法》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公有住房售房单位未按规定交存首期住宅专项维修资金</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《住宅专项维修资金管理办法》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未按规定交存首期住宅专项维修资金，公有住房售房单位将房屋交付买受人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《住宅专项维修资金管理办法》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公有住房售房单位未按规定分摊维修、更新、改造费用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《住宅专项维修资金管理办法》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未按规定交存首期住宅专项维修资金，开发建设单位将房屋交付买受人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《住宅专项维修资金管理办法》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开发建设单位未按规定分摊维修、更新和改造费用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《住宅专项维修资金管理办法》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挪用住宅专项维修资金</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《住宅专项维修资金管理办法》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城市低收入住房困难家庭隐瞒有关情况或者提供虚假材料申请廉租住房保障</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《廉租住房保障办法》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对以欺骗等不正当手段，取得审核同意或者获得廉租住房保障</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《廉租住房保障办法》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隐瞒有关情况或者提供虚假材料申请房地产估价师注册</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注册房地产估价师聘用单位为申请人提供虚假注册材料</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以欺骗、贿赂等不正当手段取得注册证书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未经注册，擅自以注册房地产估价师名义从事房地产估价活动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注册房地产估价师未办理变更注册仍执业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注册房地产估价师不履行注册房地产估价师义务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注册房地产估价师在执业过程中，索贿、受贿或者谋取合同约定费用外的其他利益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注册房地产估价师在执业过程中实施商业贿赂</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注册房地产估价师签署有虚假记载、误导性陈述或者重大遗漏的估价报告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注册房地产估价师在估价报告中隐瞒或者歪曲事实</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注册房地产估价师允许他人以自己的名义从事房地产估价业务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注册房地产估价师同时在2个或者2个以上房地产估价机构执业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注册房地产估价师以个人名义承揽房地产估价业务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注册房地产估价师涂改、出租、出借或者以其他形式非法转让注册证书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注册房地产估价师超出聘用单位业务范围从事房地产估价活动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注册房地产估价师严重损害他人利益、名誉的行为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注册房地产估价师有法律、法规禁止的其他行为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注册房地产估价师或者其聘用单位未按照要求提供房地产估价师信用档案信息</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《注册房地产估价师管理办法》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开发企业未取得《商品房预售许可证》预售商品房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《城市商品房预售管理办法》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《城市房地产开发经营管理条例》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开发企业不按规定使用商品房预售款项</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《城市商品房预售管理办法》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开发企业隐瞒有关情况、提供虚假材料，或者采用欺骗、贿赂等不正当手段取得商品房预售许可</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《城市商品房预售管理办法》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不具备条件的单位从事白蚁防治业务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《城市房屋白蚁防治管理规定》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白蚁防治单位未建立健全白蚁防治质量保证体系，未严格按照国家和地方有关城市房屋白蚁防治的施工技术规范和操作程序进行防治</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《城市房屋白蚁防治管理规定》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白蚁防治单位违反规定，使用不合格药物</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《城市房屋白蚁防治管理规定》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房地产开发企业在进行商品房销(预)售时未向购房人出具该项目的《白蚁预防合同》或者其他实施房屋白蚁预防的证明文件，或提供的《住宅质量保证书》中未包括白蚁预防质量保证的内容</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《城市房屋白蚁防治管理规定》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原有房屋和超过白蚁预防包治期限的房屋发生蚁害的，房屋所有人、使用人或者房屋管理单位未委托白蚁防治单位进行灭治或未配合白蚁防治单位进行白蚁的检查和灭治工作</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《城市房屋白蚁防治管理规定》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装修人未申报登记进行住宅室内装饰装修活动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《住宅室内装饰装修管理办法》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装修人将住宅室内装饰装修工程委托给不具有相应资质等级企业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《住宅室内装饰装修管理办法》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将没有防水要求的房间或者阳台改为卫生间、厨房间的，或者拆除连接阳台的砖、混凝土墙体</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《住宅室内装饰装修管理办法》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损坏房屋原有节能设施或者降低节能效果</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《住宅室内装饰装修管理办法》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擅自拆改供暖、燃气管道和设施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《住宅室内装饰装修管理办法》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未经原设计单位或者具有相应资质等级的设计单位提出设计方案，擅自超过设计标准或者规范增加楼面荷载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《住宅室内装饰装修管理办法》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装饰装修企业违反国家有关安全生产规定和安全生产技术规程，不按照规定采取必要的安全防护和消防措施，擅自动用明火作业和进行焊接作业，或者对建筑安全事故隐患不采取措施予以消除</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《住宅室内装饰装修管理办法》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物业管理单位发现装修人或者装饰装修企业有违反规定的行为不及时向有关部门报告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《住宅室内装饰装修管理办法》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将安装有淘汰便器水箱和配件的新建房屋验收交付使用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《城市房屋便器水箱应用监督管理办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未按更新改造计划更换淘汰便器水箱和配件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《城市房屋便器水箱应用监督管理办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在限定的期限内未更换淘汰便器水箱和配件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《城市房屋便器水箱应用监督管理办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对漏水严重的房屋便器水箱和配件未按期进行维修或者更新</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《城市房屋便器水箱应用监督管理办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在利用房地产权属档案的过程中，损毁、丢失、涂改、伪造房地产权属档案或者擅自提供、抄录、公布、销毁房地产权属档案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《城市房地产权属档案管理办法》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企事业组织或者个人擅自出卖或者转让房地产权属档案的</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《城市房地产权属档案管理办法》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未取得房地产开发企业资质证书，擅自销售商品房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在未解除商品房买卖合同前，将作为合同标的物的商品房再行销售给他人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110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房地产开发企业将未组织竣工验收、验收不合格或者对不合格按合格验收的商品房擅自交付使用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111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房地产开发企业未按规定将测绘成果或者需要由其提供的办理房屋权属登记的资料报送房地产行政主管部门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112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房地产开发企业在销售商品房中未按照规定的现售条件现售商品房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113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房地产开发企业在销售商品房中未按照规定在商品房现售前将房地产开发项目手册及符合商品房现售条件的有关证明文件报送房地产开发主管部门备案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114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房地产开发企业在销售商品房中返本销售或者变相返本销售商品房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115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房地产开发企业在销售商品房中在销售商品房中采取售后包租或者变相售后包租方式销售未竣工商品房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116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房地产开发企业在销售商品房中分割拆零销售商品住宅</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117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房地产开发企业在销售商品房中不符合商品房销售条件，向买受人收取预订款性质费用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118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房地产开发企业在销售商品房中未按照规定向买受人明示《商品房销售管理办法》、《商品房买卖合同示范文本》、《城市商品房预售管理办法》</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119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房地产开发企业在销售商品房中委托没有资格的机构代理销售商品房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120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房地产中介服务机构代理销售不符合销售条件的商品房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《商品房销售管理办法》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121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企业未取得资质证书从事房地产开发经营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122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企业超越资质等级从事房地产开发经营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123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企业隐瞒真实情况、弄虚作假骗取资质证书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124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企业涂改、出租、出借、转让、出卖资质证书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125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企业开发建设的项目工程质量低劣，发生重大工程质量事故</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126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开发企业在商品住宅销售中不按照规定发放《住宅质量保证书》和《住宅使用说明书》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127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企业不按照规定办理变更手续</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128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将不准上市出售的已购公有住房和经济适用住房上市出售</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《已购公有住房和经济适用住房上市出售管理暂行办法》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129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房地产管理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将已购公有住房和经济适用住房上市出售后，该户家庭又以非法手段按照成本价（或者标准价）购买公有住房或者政府提供优惠政策建设的住房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《已购公有住房和经济适用住房上市出售管理暂行办法》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130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未取得施工许可证或者开工报告未经批准擅自施工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131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发包单位将工程发包给不具有相应资质条件的承包单位的，或者违反本法规定将建筑工程肢解发包</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132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超越本单位资质等级承揽工程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133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未取得资质证书承揽工程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《建设工程质量管理条例》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《建设工程勘察设计管理条例》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134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以欺骗手段取得资质证书承揽工程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《建设工程质量管理条例》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《建设工程勘察设计管理条例》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135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建筑施工企业转让、出借资质证书或者以其他方式允许他人以本企业的名义承揽工程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136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承包单位将承包的工程转包，或者违法分包</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137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在工程发包与承包中索贿、受贿、行贿，且不构成犯罪</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138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工程监理单位与建设单位或者建筑施工企业串通，弄虚作假、降低工程质量</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139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工程监理单位转让监理业务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140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涉及建筑主体或者承重结构变动的装修工程擅自施工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141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建筑施工企业对建筑安全事故隐患不采取措施予以消除</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142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建设单位要求建筑设计单位或者建筑施工企业违反建筑工程质量、安全标准，降低工程质量</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143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建筑设计单位不按照建筑工程质量、安全标准进行设计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144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建筑施工企业在施工中偷工减料，使用不合格的建筑材料、建筑构配件和设备，或者有其他不按照工程设计图纸或者施工技术标准施工的行为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145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建筑施工企业不履行保修义务或者拖延履行保修义务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《中华人民共和国建筑法》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146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建设单位违反建筑节能标准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《中华人民共和国节约能源法》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147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设计单位、施工单位、监理单位违反建筑节能标准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《中华人民共和国节约能源法》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148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房地产开发企业在销售房屋时未向购买人明示所售房屋的节能措施、保温工程保修期等信息；或对以上信息作虚假宣传</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《中华人民共和国节约能源法》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149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建设单位将建设工程发包给不具有相应资质等级的勘察、设计、施工单位或者委托给不具有相应资质等级的工程监理单位</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150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将建筑工程肢解发包</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151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建设单位迫使承包方以低于成本的价格竞标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152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建设单位任意压缩合理工期</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153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建设单位明示或者暗示设计单位或者施工单位违反工程建设强制性标准，降低工程质量</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《实施工程建设强制性标准监督规</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定》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154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建设单位施工图设计文件未经审查或者审查不合格，擅自施工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155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建设项目必须实行工程监理而未实行工程监理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156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建设单位未按照国家规定办理工程质量监督手续</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157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建设单位明示或者暗示施工单位使用不合格的建筑材料、建筑构配件和设备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《实施工程建设强制性标准监督规</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158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建设单位未按照国家规定将竣工验收报告、有关认可文件或者准许使用文件报送备案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159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未组织竣工验收，建设单位擅自交付使用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160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验收不合格，建设单位擅自交付使用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161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建设单位对不合格的建设工程按照合格工程验收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162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建设工程竣工验收后，建设单位未向建设行政主管部门或者其他有关部门移交建设项目档案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163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勘察、设计、施工、工程监理单位允许其他单位或者个人以本单位名义承揽工程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164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工程监理单位转让工程监理业务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165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勘察单位未按照工程建设强制性标准进行勘察</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《建设工程勘察设计管理条例》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166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设计单位未根据勘察成果文件进行工程设计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《建设工程勘察设计管理条例》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167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设计单位指定建筑材料、建筑构配件的生产厂、供应商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《建设工程勘察设计管理条例》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168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设计单位未按照工程建设强制性标准进行设计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《建设工程勘察设计管理条例》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169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施工单位在施工中偷工减料；使用不合格的建筑材料、建筑构配件和设备；或者有不按照工程设计图纸或者施工技术标准施工的其他行为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170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施工单位未对建筑材料、建筑构配件、设备和商品混凝土进行检验，或者未对涉及结构安全的试块、试件以及有关材料取样检测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171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工程监理单位与建设单位或者施工单位串通，弄虚作假、降低工程质量</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172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工程监理单位将不合格的工程、建筑材料、构配件和设备按照合格签字</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173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工程监理单位与被监理工程的施工承包单位以及建筑材料、建筑构配件和设备供应单位有隶属关系或者其他利害关系承担该项建设工程的监理业务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174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涉及建筑主体或者承重结构变动的装修工程，没有设计方案擅自施工；房屋建筑使用者在装修过程中擅自变动房屋建筑主体和承重结构</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175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注册建筑师、注册结构工程师、监理工程师等注册执业人员因过错造成质量事故</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176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建设单位未提供建设工程安全生产作业环境及安全施工措施所需费用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177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建设单位未将保证安全施工的措施或者拆除工程的有关资料报送有关部门备案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178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建设单位对勘察、设计、施工、工程监理等单位提出不符合安全生产法律、法规和强制性标准规定要求</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179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建设单位要求施工单位压缩合同约定的工期</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180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建设单位将拆除工程发包给不具有相应资质等级的施工单位</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181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勘察单位、设计单位未按照法律、法规和工程建设强制性标准进行勘察、设计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182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采用新结构、新材料、新工艺的建设工程和特殊结构的建设工程，设计单位未在设计中提出保障施工作业人员安全和预防生产安全事故的措施建议</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183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工程监理单位未对施工组织设计中的安全技术措施或者专项施工方案进行审查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184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工程监理单位发现安全事故隐患未及时要求施工单位整改或者暂时停止施工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185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施工单位拒不整改或者不停止施工，工程监理单位未及时向有关主管部门报告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186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工程监理单位未依照法律、法规和工程建设强制性标准实施监理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187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注册执业人员未执行法律、法规和工程建设强制性标准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188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为建设工程提供机械设备和配件的单位，未按照安全施工的要求配备齐全有效的保险、限位等安全设施和装置</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189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出租单位出租未经安全性能检测或者经检测不合格的机械设备和施工机具及配件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190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施工起重机械和整体提升脚手架、模板等自升式架设设施安装、拆卸单位未编制拆装方案、制定安全施工措施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191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施工起重机械和整体提升脚手架、模板等自升式架设设施安装、拆卸单位未由专业技术人员现场监督</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192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施工起重机械和整体提升脚手架、模板等自升式架设设施安装、拆卸单位未出具自检合格证明或者出具虚假证明</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193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施工起重机械和整体提升脚手架、模板等自升式架设设施安装、拆卸单位未向施工单位进行安全使用说明，办理移交手续</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194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施工单位未设立安全生产管理机构、配备专职安全生产管理人员或者分部分项工程施工时无专职安全生产管理人员现场监督</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195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施工单位的主要负责人、项目负责人、专职安全生产管理人员、作业人员或者特种作业人员，未经安全教育培训或者经考核不合格即从事相关工作</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196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施工单位未在施工现场的危险部位设置明显的安全警示标志，或者未按照国家有关规定在施工现场设置消防通道、消防水源、配备消防设施和灭火器材</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197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施工单位未向作业人员提供安全防护用具和安全防护服装</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198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施工单位未按照规定在施工起重机械和整体提升脚手架、模板等自升式架设设施验收合格后登记</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199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施工单位使用国家明令淘汰、禁止使用的危及施工安全的工艺、设备、材料</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200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施工单位挪用列入建设工程概算的安全生产作业环境及安全施工措施所需费用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201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施工单位施工前未对有关安全施工的技术要求作出详细说明</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202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施工单位未根据不同施工阶段和周围环境及季节、气候的变化，在施工现场采取相应的安全施工措施，或者在城市市区内的建设工程的施工现场未实行封闭围挡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203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施工单位在尚未竣工的建筑物内设置员工集体宿舍</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204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施工现场临时搭建的建筑物不符合安全使用要求</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205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施工单位未对因建设工程施工可能造成损害的毗邻建筑物、构筑物和地下管线等采取专项防护措施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206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安全防护用具、机械设备、施工机具及配件在进入施工现场前未经查验或者查验不合格施工单位即投入使用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207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施工单位使用未经验收或者验收不合格的施工起重机械和整体提升脚手架、模板等自升式架设设施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208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施工单位委托不具有相应资质的单位承担施工现场安装、拆卸施工起重机械和整体提升脚手架、模板等自升式架设设施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209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施工单位在施工组织设计中未编制安全技术措施、施工现场临时用电方案或者专项施工方案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210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施工单位的主要负责人、项目负责人未履行安全生产管理职责</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211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不服管理、违反规章制度和操作规程冒险作业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212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施工单位取得资质证书后，降低安全生产条件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《建设工程安全生产管理条例》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213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建设工程勘察、设计单位超越其资质等级许可的范围或者以其他建设工程勘察、设计单位的名义承揽建设工程勘察、设计业务；允许其他单位或者个人以本单位的名义承揽建设工程勘察、设计业务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214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未经注册，擅自以注册建设工程勘察、设计人员的名义从事建设工程勘察、设计活动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215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建设工程勘察、设计注册执业人员和其他专业技术人员未受聘于一个建设工程勘察、设计单位或者同时受聘于两个以上建设工程勘察、设计单位，从事建设工程勘察、设计活动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216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发包方将建设工程勘察、设计业务发包给不具有相应资质等级的建设工程勘察、设计单位</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217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建设工程勘察、设计单位将所承揽的建设工程勘察、设计转包</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218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勘察、设计单位未依据项目批准文件，城乡规划及专业规划，国家规定的建设工程勘察、设计深度要求编制建设工程勘察、设计文件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219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建设单位明示或者暗示设计单位、施工单位违反民用建筑节能强制性标准进行设计、施工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220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建设单位明示或者暗示施工单位使用不符合施工图设计文件要求的墙体材料、保温材料、门窗、采暖制冷系统和照明设备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221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建设单位采购不符合施工图设计文件要求的墙体材料、保温材料、门窗、采暖制冷系统和照明设备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222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建设单位使用列入禁止使用目录的技术、工艺、材料和设备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223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建设单位对不符合民用建筑节能强制性标准的民用建筑项目出具竣工验收合格报告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224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设计单位未按照民用建筑节能强制性标准进行设计，或者使用列入禁止使用目录的技术、工艺、材料和设备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225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施工单位未按照民用建筑节能强制性标准进行施工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226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施工单位未对进入施工现场的墙体材料、保温材料、门窗、采暖制冷系统和照明设备进行查验</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227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施工单位使用不符合施工图设计文件要求的墙体材料、保温材料、门窗、采暖制冷系统和照明设备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228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施工单位使用列入禁止使用目录的技术、工艺、材料和设备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229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工程监理单位未按照民用建筑节能强制性标准实施监理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230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墙体、屋面的保温工程施工时，工程监理单位未采取旁站、巡视和平行检验等形式实施监理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231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对不符合施工图设计文件要求的墙体材料、保温材料、门窗、采暖制冷系统和照明设备，工程监理单位按照符合施工图设计文件要求签字</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232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房地产开发企业销售商品房，未向购买人明示所售商品房的能源消耗指标、节能措施和保护要求、保温工程保修期等信息，或者向购买人明示的所售商品房能源消耗指标与实际能源消耗不符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233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注册执业人员未执行民用建筑节能强制性标准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234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以不正当手段取得注册建筑师考试合格资格或者注册建筑师证书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《中华人民共和国注册建筑师条例》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235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未经注册擅自以注册建筑师名义从事注册建筑师业务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《中华人民共和国注册建筑师条例》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236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注册建筑师以个人名义承接注册建筑师业务、收取费用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《中华人民共和国注册建筑师条例》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237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注册建筑师同时受聘于二个以上建筑设计单位执行业务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《中华人民共和国注册建筑师条例》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238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注册建筑师在建筑设计或者相关业务中侵犯他人合法权益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《中华人民共和国注册建筑师条例》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239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注册建筑师准许他人以本人名义执行业务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《中华人民共和国注册建筑师条例》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240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二级注册建筑师以一级注册建筑师的名义执行业务或者超越国家规定的执业范围执行业务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《中华人民共和国注册建筑师条例》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241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注册建筑师因建筑设计质量不合格发生重大责任事故，造成重大损失</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《中华人民共和国注册建筑师条例》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242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房地产价格评估机构或者房地产估价师出具虚假或者有重大差错的评估报告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《国有土地上房屋征收与补偿条例》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243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违法建设</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在村庄、集镇规划区内，未按规划审批程序批准或者违反规划的规定进行建设，严重影响村庄、集镇规划</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《村庄和集镇规划建设管理条例》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244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未取得设计资质证书，承担建筑跨度、跨径和高度超出规定范围的工程以及2层以上住宅的设计任务或者未按设计资质证书规定的经营范围，承担设计任务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《村庄和集镇规划建设管理条例》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《建制镇规划建设管理办法》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245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未取得施工资质等级证书或者资质审查证书或者未按规定的经营范围，承担施工任务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《村庄和集镇规划建设管理条例》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《建制镇规划建设管理办法》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246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不按有关技术规定施工或者使用不符合工程质量要求的建筑材料和建筑构件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《村庄和集镇规划建设管理条例》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《建制镇规划建设管理办法》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247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违法建设</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未按设计图纸施工或者擅自修改设计图纸</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《村庄和集镇规划建设管理条例》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《建制镇规划建设管理办法》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248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取得设计或者施工资质证书的勘察设计、施工单位，为无证单位提供资质证书，超过规定的经营范围，承担设计、施工任务或者设计、施工的质量不符合要求，情节严重</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《村庄和集镇规划建设管理条例》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249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建设单位未按照本规定提供工程周边环境等资料</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250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建设单位未按照本规定在招标文件中列出危大工程清单</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251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建设单位未按照施工合同约定及时支付危大工程施工技术措施费或者相应的安全防护文明施工措施费</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252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建设单位未按照本规定委托具有相应勘察资质的单位进行第三方监测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253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建设单位未对第三方监测单位报告的异常情况组织采取处置措施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254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勘察单位未在勘察文件中说明地质条件可能造成的工程风险</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255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设计单位未在设计文件中注明涉及危大工程的重点部位和环节，未提出保障工程周边环境安全和工程施工安全的意见的</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256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施工单位未按照本规定编制并审核危大工程专项施工方案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257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施工单位未对超过一定规模的危大工程专项施工方案进行专家论证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258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施工单位未根据专家论证报告对超过一定规模的危大工程专项施工方案进行修改，或者未按照本规定重新组织专家论证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259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施工单位未严格按照专项施工方案组织施工，或者擅自修改专项施工方案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260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施工单位项目负责人未按照本规定现场履职或者组织限期整改</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261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施工单位未按照本规定进行施工监测和安全巡视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262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施工单位未按照本规定组织危大工程验收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263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发生险情或者事故时，施工单位未采取应急处置措施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264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施工单位未按照本规定建立危大工程安全管理档案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265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监理单位的总监理工程师未按照本规定审查危大工程专项施工方案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266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发现施工单位未按照专项施工方案实施，监理单位未要求其整改或者停工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267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施工单位拒不整改或者不停止施工时，监理单位未向建设单位和工程所在地住房城乡建设主管部门报告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268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监理单位未按规定编制监理实施细则</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269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监理单位未对危大工程施工实施专项巡视检查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270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监理单位未按规定参与组织危大工程验收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271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监理单位未按规定建立危大工程安全管理档案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272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监测单位未取得相应勘察资质从事第三方监测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273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监测单位未按规定编制监测方案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274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监测单位未按照监测方案开展监测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275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监测单位发现异常未及时报告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《危险性较大的分部分项工程安全管理规定》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276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申请企业隐瞒有关真实情况或者提供虚假材料申请建筑业企业资质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277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企业以欺骗、贿赂等不正当手段取得建筑业企业资质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278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企业申请建筑业企业资质升级、资质增项，在申请之日起前一年至资质许可决定作出前，超越本企业资质等级或以其他企业的名义承揽工程，或允许其他企业或个人以本企业的名义承揽工程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279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企业申请建筑业企业资质升级、资质增项，在申请之日起前一年至资质许可决定作出前，与建设单位或企业之间相互串通投标，或以行贿等不正当手段谋取中标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280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企业申请建筑业企业资质升级、资质增项，在申请之日起前一年至资质许可决定作出前，未取得施工许可证擅自施工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281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企业申请建筑业企业资质升级、资质增项，在申请之日起前一年至资质许可决定作出前，将承包的工程转包或违法分包</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282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企业申请建筑业企业资质升级、资质增项，在申请之日起前一年至资质许可决定作出前，违反国家工程建设强制性标准施工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283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企业申请建筑业企业资质升级、资质增项，在申请之日起前一年至资质许可决定作出前，恶意拖欠分包企业工程款或者劳务人员工资</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284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企业申请建筑业企业资质升级、资质增项，在申请之日起前一年至资质许可决定作出前，隐瞒或谎报、拖延报告工程质量安全事故，破坏事故现场、阻碍对事故调查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285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企业申请建筑业企业资质升级、资质增项，在申请之日起前一年至资质许可决定作出前，按照国家法律、法规和标准规定需要持证上岗的现场管理人员和技术工种作业人员未取得证书上岗</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286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企业申请建筑业企业资质升级、资质增项，在申请之日起前一年至资质许可决定作出前，未依法履行工程质量保修义务或拖延履行保修义务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287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企业申请建筑业企业资质升级、资质增项，在申请之日起前一年至资质许可决定作出前，伪造、变造、倒卖、出租、出借或者以其他形式非法转让建筑业企业资质证书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288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企业申请建筑业企业资质升级、资质增项，在申请之日起前一年至资质许可决定作出前，发生过较大以上质量安全事故或者发生过两起以上一般质量安全事故</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289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企业申请建筑业企业资质升级、资质增项，在申请之日起前一年至资质许可决定作出前，有其它违反法律、法规的行为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290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企业未按照规定及时办理建筑业企业资质证书变更手续</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291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企业在接受监督检查时，不如实提供有关材料，或者拒绝、阻碍监督检查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292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企业未按照规定要求提供企业信用档案信息</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《建筑业企业资质管理规定》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293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未取得建筑业企业资质承接分包工程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《房屋建筑和市政基础设施工程施工分包管理办法》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294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未取得施工许可证或者为规避办理施工许可证将工程项目分解后擅自施工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《建筑工程施工许可管理办法》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295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建设单位采用欺骗、贿赂等不正当手段取得施工许可证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《建筑工程施工许可管理办法》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296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建设单位隐瞒有关情况或者提供虚假材料申请施工许可证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《建筑工程施工许可管理办法》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297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建设单位伪造或者涂改施工许可证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《建筑工程施工许可管理办法》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298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“安管人员”隐瞒有关情况或者提供虚假材料申请安全生产考核</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299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“安管人员”以欺骗、贿赂等不正当手段取得安全生产考核合格证书    </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300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“安管人员”涂改、倒卖、出租、出借或者以其他形式非法转让安全生产考核合格证书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301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建筑施工企业未按规定开展“安管人员”安全生产教育培训考核，或者未按规定如实将考核情况记入安全生产教育培训档案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302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建筑施工企业未按规定设立安全生产管理机构</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303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建筑施工企业未按规定配备专职安全生产管理人员</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304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危险性较大的分部分项工程施工时建筑施工企业未安排专职安全生产管理人员现场监督</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305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“安管人员”未取得安全生产考核合格证书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306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“安管人员”未按规定办理证书变更</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307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主要负责人、项目负责人未按规定履行安全生产管理职责</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308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专职安全生产管理人员未按规定履行安全生产管理职责</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《建筑施工企业主要负责人、项目负责人和专职安全生产管理人员安全生产管理规定》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309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工程造价咨询企业在建筑工程计价活动中，出具有虚假记载、误导性陈述的工程造价成果文件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《建筑工程施工发包与承包计价管理办法》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310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审查机构列入名录后不再符合规定条件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311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审查机构超出范围从事施工图审查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312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审查机构使用不符合条件审查人员</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313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审查机构未按规定的内容进行审查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314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审查机构未按规定上报审查过程中发现的违法违规行为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315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审查机构未按规定填写审查意见告知书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316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审查机构未按规定在审查合格书和施工图上签字盖章</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317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审查机构已出具审查合格书的施工图，仍有违反法律、法规和工程建设强制性标准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318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审查机构出具虚假审查合格书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319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审查人员在虚假审查合格书上签字</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320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建设单位压缩合理审查周期的</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321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建设单位提供不真实送审资料</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322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建设单位对审查机构提出不符合法律、法规和工程建设强制性标准要求</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《房屋建筑和市政基础设施工程施工图设计文件审查管理办法》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323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建设单位在工程竣工验收合格之日起15日内未办理工程竣工验收备案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《房屋建筑和市政基础设施工程竣工验收备案管理办法》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324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建设单位将备案机关决定重新组织竣工验收的工程，在重新组织竣工验收前，擅自使用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《房屋建筑和市政基础设施工程竣工验收备案管理办法》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325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建设单位采用虚假证明文件办理工程竣工验收备案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《房屋建筑和市政基础设施工程竣工验收备案管理办法》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326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隐瞒有关情况或者提供虚假材料申请注册</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《中华人民共和国注册建筑师条例实施细则》、《注册建造师管理规定》、《注册监理工程师管理规定》、《勘察设计注册工程师管理规定》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327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以欺骗、贿赂等不正当手段取得注册证书和执业印章</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《中华人民共和国注册建筑师条例实施细则》</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328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出租单位、自购建筑起重机械的使用单位未按照规定办理备案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329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出租单位、自购建筑起重机械的使用单位未按照规定办理注销手续</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330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出租单位、自购建筑起重机械的使用单位未按照规定建立建筑起重机械安全技术档案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331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安装单位未按照安全技术标准及安装使用说明书等检查建筑起重机械及现场施工条件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332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安装单位未制定建筑起重机械安装、拆卸工程生产安全事故应急救援预案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333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安装单位未将建筑起重机械安装、拆卸工程专项施工方案，安装、拆卸人员名单，安装、拆卸时间等材料报施工总承包单位和监理单位审核后，告知工程所在地县级以上地方人民政府建设主管部门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334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安装单位未按照规定建立建筑起重机械安装、拆卸工程档案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335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安装单位未按照建筑起重机械安装、拆卸工程专项施工方案及安全操作规程组织安装、拆卸作业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336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使用单位未根据不同施工阶段、周围环境以及季节、气候的变化，对建筑起重机械采取相应的安全防护措施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337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使用单位未制定建筑起重机械生产安全事故应急救援预案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338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使用单位未设置相应的设备管理机构或者配备专职的设备管理人员</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339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建筑起重机械出现故障或者发生异常情况时，使用单位未立即停止使用，或未待消除故障和事故隐患后，再重新投入使用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340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使用单位未指定专职设备管理人员进行现场监督检查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341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使用单位擅自在建筑起重机械上安装非原制造厂制造的标准节和附着装置</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342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施工总承包单位未向安装单位提供拟安装设备位置的基础施工资料，确保建筑起重机械进场安装、拆卸所需的施工条件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343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施工总承包单位未审核安装单位、使用单位的资质证书、安全生产许可证和特种作业人员的特种作业操作资格证书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344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施工总承包单位未审核安装单位制定的建筑起重机械安装、拆卸工程专项施工方案和生产安全事故应急救援预案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345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施工总承包单位未审核使用单位制定的建筑起重机械生产安全事故应急救援预案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346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施工现场有多台塔式起重机作业时，施工单位未组织制定并实施防止塔式起重机相互碰撞的安全措施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347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监理单位未审核建筑起重机械特种设备制造许可证、产品合格证、制造监督检验证明、备案证明等文件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348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监理单位未审核建筑起重机械安装单位、使用单位的资质证书、安全生产许可证和特种作业人员的特种作业操作资格证书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349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监理单位未监督安装单位执行建筑起重机械安装、拆卸工程专项施工方案情况</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350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监理单位未监督检查建筑起重机械的使用情况</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351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建设单位未按照规定协调组织制定防止多台塔式起重机相互碰撞的安全措施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352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接到监理单位报告后，建设单位未责令安装单位、使用单位立即停工整改</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《建筑起重机械安全监督管理规定》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353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建设单位未为勘察工作提供必要的现场工作条件或者未提供真实、可靠原始资料</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《建设工程勘察质量管理办法》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354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工程勘察企业未按照工程建设强制性标准进行勘察、弄虚作假、提供虚假成果资料</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《建设工程勘察质量管理办法》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355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工程勘察企业勘察文件没有责任人签字或者签字不全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《建设工程勘察质量管理办法》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356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工程勘察企业原始记录不按照规定记录或者记录不完整</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《建设工程勘察质量管理办法》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357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工程勘察企业不参加施工验槽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《建设工程勘察质量管理办法》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358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项目完成后，工程勘察企业勘察文件不归档保存</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《建设工程勘察质量管理办法》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359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企业隐瞒有关情况或者提供虚假材料申请资质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360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企业以欺骗、贿赂等不正当手段取得资质证书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361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企业不及时办理资质证书变更手续</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362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企业未按照规定提供信用档案信息</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363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企业涂改、倒卖、出租、出借或者以其他形式非法转让资质证书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《建设工程勘察设计资质管理规定》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364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申请人隐瞒有关情况或者提供虚假材料申请工程监理企业资质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365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工程监理企业以欺骗、贿赂等不正当手段取得工程监理企业资质证书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366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工程监理企业在监理过程中实施商业贿赂</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367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工程监理企业涂改、伪造、出借、转让工程监理企业资质证书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368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工程监理企业不及时办理资质证书变更手续</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369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工程监理企业未按照要求提供工程监理企业信用档案信息</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《工程监理企业资质管理规定》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370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以欺骗、贿赂等不正当手段取得注册证书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371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未取得注册证书和执业印章，担任大中型建设工程项目施工单位项目负责人，或者以注册建造师的名义从事相关活动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372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注册建造师、注册造价工程师、注册监理工程师未办理变更注册而继续执业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373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注册建造师在执业活动中不履行注册建造师义务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374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注册建造师在执业活动中索贿、受贿或者谋取合同约定费用外的其他利益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375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注册建造师在执业活动中在执业过程中实施商业贿赂</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376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注册建造师在执业活动中签署有虚假记载等不合格的文件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377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注册建造师在执业活动中允许他人以自己的名义从事执业活动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378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注册建造师在执业活动中同时在两个或者两个以上单位受聘或者执业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379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注册建造师在执业活动中涂改、倒卖、出租、出借或以其他形式非法转让资格证书、注册证书和执业印章</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380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注册建造师在执业活动中超出执业范围和聘用单位业务范围内从事执业活动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381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注册建造师在执业活动中法律、法规、规章禁止的其他行为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382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注册建造师或者其聘用单位未按照要求提供注册建造师信用档案信息</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383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聘用单位为申请人提供虚假注册材料</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《注册建造师管理规定》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《注册造价工程师管理办法》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384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隐瞒有关情况或者提供虚假材料申请造价工程师注册</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385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以欺骗、贿赂等不正当手段取得造价工程师注册</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386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未经注册而以注册造价工程师的名义从事工程造价活动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387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注册造价工程师不履行注册造价工程师义务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388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注册造价工程师在执业过程中，索贿、受贿或者谋取合同约定费用外的其他利益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389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注册造价工程师在执业过程中实施商业贿赂</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390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注册造价工程师签署有虚假记载、误导性陈述的工程造价成果文件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391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注册造价工程师以个人名义承接工程造价业务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392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注册造价工程师允许他人以自己名义从事工程造价业务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393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注册造价工程师同时在两个或者两个以上单位执业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394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注册造价工程师涂改、倒卖、出租、出借或者以其他形式非法转让注册证书或者执业印章</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395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注册造价工程师有法律、法规、规章禁止的其他行为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396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注册造价工程师或者其聘用单位未按照要求提供造价工程师信用档案信息</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《注册造价工程师管理办法》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397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申请人隐瞒有关情况或者提供虚假材料申请工程造价咨询企业资质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398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以欺骗、贿赂等不正当手段取得工程造价咨询企业资质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399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未取得工程造价咨询企业资质从事工程造价咨询活动或者超越资质等级承接工程造价咨询业务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400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工程造价咨询企业不及时办理资质证书变更手续</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401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工程造价咨询企业新设立分支机构不备案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402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工程造价咨询企业跨省、自治区、直辖市承接业务不备案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403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工程造价咨询企业涂改、倒卖、出租、出借资质证书，或者以其他形式非法转让资质证书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404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工程造价咨询企业超越资质等级业务范围承接工程造价咨询业务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405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工程造价咨询企业同时接受招标人和投标人或两个以上投标人对同一工程项目的工程造价咨询业务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406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工程造价咨询企业以给予回扣、恶意压低收费等方式进行不正当竞争</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407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工程造价咨询企业转包承接的工程造价咨询业务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408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法律、法规禁止的其他行为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《工程造价咨询企业管理办法》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409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擅自使用没有国家技术标准又未经审定的新技术、新材料</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《房屋建筑工程抗震设防管理规定》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410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擅自变动或者破坏房屋建筑抗震构件、隔震装置、减震部件或者地震反应观测系统等抗震设施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《房屋建筑工程抗震设防管理规定》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411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未对抗震能力受损、荷载增加或者需提高抗震设防类别的房屋建筑工程，进行抗震验算、修复和加固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《房屋建筑工程抗震设防管理规定》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412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鉴定需抗震加固的房屋建筑工程在进行装修改造时未进行抗震加固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《房屋建筑工程抗震设防管理规定》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413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以欺骗、贿赂等不正当手段取得注册证书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414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未经注册，擅自以注册监理工程师的名义从事工程监理及相关业务活动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415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注册监理工程师在执业活动中以个人名义承接业务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416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注册监理工程师在执业活动中涂改、倒卖、出租、出借或者以其他形式非法转让注册证书或者执业印章</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417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注册监理工程师在执业活动中泄露执业中应当保守的秘密并造成严重后果</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418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注册监理工程师在执业活动中超出规定执业范围或者聘用单位业务范围从事执业活动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419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注册监理工程师在执业活动中弄虚作假提供执业活动成果    </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420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注册监理工程师在执业活动中同时受聘于两个或者两个以上的单位，从事执业活动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421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注册监理工程师在执业活动中有其它违反法律、法规、规章的行为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《注册监理工程师管理规定》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422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建设单位未按照建筑节能强制性标准委托设计，擅自修改节能设计文件，明示或暗示设计单位、施工单位违反建筑节能设计强制性标准，降低工程建设质量</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423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设计单位未按照建筑节能强制性标准进行设计,且未进行修改；两年内，累计三项工程未按照建筑节能强制性标准设计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424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施工单位未按照节能设计进行施工；两年内，累计三项工程未按照符合节能标准要求的设计进行施工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《民用建筑节能管理规定》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425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未取得相应的资质，擅自承担本办法规定的检测业务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426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检测机构隐瞒有关情况或者提供虚假材料申请资质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427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以欺骗、贿赂等不正当手段取得资质证书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428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检测机构超出资质范围从事检测活动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429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检测机构涂改、倒卖、出租、出借、转让资质证书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430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检测机构使用不符合条件的检测人员</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431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检测机构未按规定上报发现的违法违规行为和检测不合格事项</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432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检测机构未按规定在检测报告上签字盖章</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433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检测机构未按照国家有关工程建设强制性标准进行检测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434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检测机构档案资料管理混乱，造成检测数据无法追溯</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435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检测机构转包检测业务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436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检测机构伪造检测数据，出具虚假检测报告或鉴定结论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437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委托方委托未取得相应资质的检测机构进行检测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438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委托方明示或暗示检测机构出具虚假检测报告，篡改或伪造检测报告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439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委托方弄虚作假送检试样</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《建设工程质量检测管理办法》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440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以欺骗、贿赂等不正当手段取得注册证书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《勘察设计注册工程师管理规定》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441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注册工程师在执业活动中以个人名义承接业务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《勘察设计注册工程师管理规定》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442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注册工程师在执业活动中涂改、出租、出借或者以形式非法转让注册证书或者执业印章</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《勘察设计注册工程师管理规定》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443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注册工程师在执业活动中泄露执业中应当保守的秘密并造成严重后果</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《勘察设计注册工程师管理规定》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444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注册工程师在执业活动中超出本专业规定范围或者聘用单位业务范围从事执业活动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《勘察设计注册工程师管理规定》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445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注册工程师在执业活动中弄虚作假提供执业活动成果</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《勘察设计注册工程师管理规定》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446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注册工程师在执业活动中有其它违反法律、法规、规章的行为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《勘察设计注册工程师管理规定》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447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取得安全生产许可证的建筑施工企业，发生重大安全事故</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《建筑施工企业安全生产许可证管理规定》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448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建筑施工企业未取得安全生产许可证擅自从事建筑施工活动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《建筑施工企业安全生产许可证管理规定》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449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安全生产许可证有效期满未办理延期手续，继续从事建筑施工活动；逾期仍不办理延期手续，继续从事建筑施工活动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《建筑施工企业安全生产许可证管理规定》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450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建筑施工企业转让安全生产许可证；接受转让安全生产许可证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《建筑施工企业安全生产许可证管理规定》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451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建筑施工企业冒用安全生产许可证或使用伪造的安全生产许可证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《建筑施工企业安全生产许可证管理规定》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452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建筑施工企业隐瞒有关情况或者提供虚假材料申请安全生产许可证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《建筑施工企业安全生产许可证管理规定》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453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建筑施工企业以欺骗、贿赂等不正当手段取得安全生产许可证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《建筑施工企业安全生产许可证管理规定》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454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外资建筑业企业超越资质许可的业务范围承包工程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《外商投资建筑业企业管理规定》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455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施工图设计文件未经审查或者审查不合格，建设单位擅自施工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《超限高层建筑工程抗震设防管理规</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456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勘察、设计单位未按照抗震设防专项审查意见进行超限高层建筑工程勘察、设计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《超限高层建筑工程抗震设防管理规</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457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招标人不具备自行办理施工招标事宜条件而自行招标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《房屋建筑和市政基础设施工程施工招标投标管理办法》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458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勘察、设计单位违反工程建设强制性标准进行勘察、设计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《实施工程建设强制性标准监督规定》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459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施工单位违反工程建设强制性标准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《实施工程建设强制性标准监督规定》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460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工程监理单位违反强制性标准规定，将不合格的建设工程以及建筑材料、建筑构配件和设备按照合格签字的</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《实施工程建设强制性标准监督规定》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461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施工单位在工程竣工验收后，不向建设单位出具质量保修书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《房屋建筑工程质量保修办法》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462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施工单位关于质量保修的内容、期限违反规定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《房屋建筑工程质量保修办法》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463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施工单位不履行保修义务或者拖延履行保修义务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《房屋建筑工程质量保修办法》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464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未按有关规范、标准、规定进行设计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《城市居民住宅安全防范设施建设管理规定》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465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擅自改动设计文件中安全防范设施内容的</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《城市居民住宅安全防范设施建设管理规定》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466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使用未经鉴定和鉴定不合格的产品、材料、设备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《城市居民住宅安全防范设施建设管理规定》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467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安全防范设施未经验收或验收不合格而交付使用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《城市居民住宅安全防范设施建设管理规定》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468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施工工地未设置硬质密闭围挡，或者未采取覆盖、分段作业、择时施工、洒水抑尘、冲洗地面和车辆等有效防尘降尘措施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《中华人民共和国大气污染防治法》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469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建筑土方、工程渣土、建筑垃圾未及时清运，或者未采用密闭式防尘网遮盖</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《中华人民共和国大气污染防治法》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470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建设单位未对暂时不能开工的建设用地的裸露地面进行覆盖，或者未对超过三个月不能开工的建设用地的裸露地面进行绿化、铺装或者遮盖</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《中华人民共和国大气污染防治法》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471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随意倾倒、抛撒或者堆放生活垃圾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《中华人民共和国固体废物污染环境防治法》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472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擅自关闭、闲置或者拆除生活垃圾处置设施、场所</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《中华人民共和国固体废物污染环境防治法》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473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工程施工单位不及时清运施工过程中产生的固体废物，造成环境污染</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《中华人民共和国固体废物污染环境防治法》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474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工程建设管理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工程施工单位不按照环境卫生行政主管部门的规定对施工过程中产生的固体废物进行利用或者处置</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《中华人民共和国固体废物污染环境防治法》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475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必须进行招标的项目不招标；将必须进行招标的项目化整为零或者以其他任何方式规避招标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476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招标代理机构泄露应当保密的与招标投标活动有关的情况和资料；或者与招标人、投标人串通损害国家利益、社会公共利益或者他人合法权益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477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招标人以不合理的条件限制或者排斥潜在投标人；对潜在投标人实行歧视待遇；强制要求投标人组成联合体共同投标；或者限制投标人之间竞争</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《建筑工程设计招标投标管理办法》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478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依法必须进行招标的项目的招标人向他人透露已获取招标文件的潜在投标人的名称、数量或者可能影响公平竞争的有关招标投标的其他情况；或者泄露标底</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479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投标人相互串通投标或者与招标人串通投标；投标人以向招标人或者评标委员会成员行贿的手段谋取中标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480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投标人以他人名义投标或者以其他方式弄虚作假，骗取中标，且尚未构成犯罪</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481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依法必须进行招标的项目，招标人与投标人就投标价格、投标方案等实质性内容进行谈判</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482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评标委员会成员收受投标人的财物或者其他好处，评标委员会成员或者参加评标的有关工作人员向他人透露对投标文件的评审和比较、中标候选人的推荐以及与评标有关的其他情况</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《建筑工程设计招标投标管理办法》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483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招标人在评标委员会依法推荐的中标候选人以外确定中标人；依法必须进行招标的项目在所有投标被评标委员会否决后自行确定中标人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484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中标人将中标项目转让给他人；将中标项目肢解后分别转让给他人；违反招标投标法和招标投标法实施条例规定将中标项目的部分主体、关键性工作分包给他人；或者分包人再次分包</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485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招标人与中标人不按照招标文件和中标人的投标文件订立合同，或者招标人、中标人订立背离合同实质性内容的协议</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486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中标人不按照与招标人订立的合同履行义务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487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依法应当公开招标的项目招标人不按照规定在指定媒介发布资格预审公告或者招标公告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《中华人民共和国招标投标法实施条例》、《工程建设项目货物招标投标办法》                                                                             《工程建设项目施工招标投标办法》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488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招标人在不同媒介发布的同一招标项目的资格预审公告或者招标公告的内容不一致，影响潜在投标人申请资格预审或者投标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《中华人民共和国招标投标法实施条例》、                                                        《工程建设项目勘察设计招标投标办法》、                                                                                             《工程建设项目施工招标投标办法》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489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依法必须进行招标的项目的招标人不按照规定发布资格预审公告或者招标公告，构成规避招标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490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依法应当公开招标而招标人采用邀请招标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《中华人民共和国招标投标法实施条例》、《工程建设项目勘察设计招标投标办法》、《工程建设项目货物招标投标办法》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491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招标文件、资格预审文件的发售、澄清、修改的时限，或者确定的提交资格预审申请文件、投标文件的时限不符合招标投标法和本条例规定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492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招标人接受未通过资格预审的单位或者个人参加投标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《中华人民共和国招标投标法实施条例》、《工程建设项目勘察设计招标投标办法》、《工程建设项目货物招标投标办法》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493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招标人接受应当拒收的投标文件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《中华人民共和国招标投标法实施条例》、《工程建设项目勘察设计招标投标办法》、《工程建设项目货物招标投标办法》                                                                       《工程建设项目施工招标投标办法》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494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招标代理机构在所代理的招标项目中投标、代理投标或者向该项目投标人提供咨询，接受委托编制标底的中介机构参加受托编制标底项目的投标或者为该项目的投标人编制投标文件、提供咨询</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495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招标人超过规定的比例收取投标保证金、履约保证金或者不按照规定退还投标保证金及银行同期存款利息</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496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出让或者出租资格、资质证书供他人投标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497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依法必须进行招标的项目的招标人不按照规定组建评标委员会，或者确定、更换评标委员会成员违反招标投标法和招标投标法实施条例规定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《中华人民共和国招标投标法实施条例》、《工程建设项目勘察设计招标投标办法》 、 《工程建设项目施工招标投标办法》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498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评标委员会成员应当回避而不回避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《工程建设项目货物招标投标办法》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499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评标委员会成员擅离职守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《工程建设项目货物招标投标办法》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500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评标委员会成员不按照招标文件规定的评标标准和方法评标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《工程建设项目货物招标投标办法》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501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评标委员会成员私下接触投标人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《工程建设项目货物招标投标办法》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502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评标委员会成员向招标人征询确定中标人的意向或者接受任何单位或者个人明示或者暗示提出的倾向或者排斥特定投标人的要求</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《工程建设项目货物招标投标办法》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503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评标委员会成员对依法应当否决的投标不提出否决意见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《工程建设项目货物招标投标办法》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504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评标委员会成员暗示或者诱导投标人作出澄清、说明或者接受投标人主动提出的澄清、说明</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《工程建设项目货物招标投标办法》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505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评标委员会成员有其他不客观、不公正履行职务的行为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br w:type="textWrapping"/>
            </w: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《工程建设项目货物招标投标办法》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506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评标委员会成员收受投标人的财物或者其他好处</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507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依法必须进行招标的项目的招标人无正当理由不发出中标通知书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508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依法必须进行招标的项目的招标人不按照规定确定中标人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509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依法必须进行招标的项目的招标人中标通知书发出后无正当理由改变中标结果</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510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依法必须进行招标的项目的招标人无正当理由不与中标人订立合同</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511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依法必须进行招标的项目的招标人在订立合同时向中标人提出附加条件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512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中标人无正当理由不与招标人订立合同，在签订合同时向招标人提出附加条件，或者不按照招标文件要求提交履约保证金</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513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招标人和中标人不按照招标文件和中标人的投标文件订立合同，合同的主要条款与招标文件、中标人的投标文件的内容不一致，或者招标人、中标人订立背离合同实质性内容的协议</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514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招标人不按照规定对异议作出答复，继续进行招标投标活动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《中华人民共和国招标投标法实施条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515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招标人澄清、修改招标文件的时限，或者确定的提交投标文件的时限不符合规定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《建筑工程设计招标投标管理办法》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516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招标人不按照规定组建评标委员会，或者评标委员会成员的确定违反规定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《建筑工程设计招标投标管理办法》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517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招标人无正当理由未按规定发出中标通知书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《建筑工程设计招标投标管理办法》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518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招标人不按照规定确定中标人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《建筑工程设计招标投标管理办法》、《工程建设项目货物招标投标办法》、                                                                                                                     《工程建设项目施工招标投标办法》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519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中标通知书发出后招标人无正当理由改变中标结果</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《建筑工程设计招标投标管理办法》、《工程建设项目货物招标投标办法》、</w:t>
            </w:r>
            <w:r>
              <w:rPr>
                <w:rFonts w:ascii="宋体" w:hAnsi="宋体" w:eastAsia="宋体" w:cs="宋体"/>
                <w:kern w:val="0"/>
                <w:sz w:val="18"/>
                <w:szCs w:val="18"/>
              </w:rPr>
              <w:t xml:space="preserve">                                                                                                                     </w:t>
            </w:r>
            <w:r>
              <w:rPr>
                <w:rFonts w:hint="eastAsia" w:ascii="宋体" w:hAnsi="宋体" w:eastAsia="宋体" w:cs="宋体"/>
                <w:kern w:val="0"/>
                <w:sz w:val="18"/>
                <w:szCs w:val="18"/>
              </w:rPr>
              <w:t>《工程建设项目施工招标投标办法》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520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招标人无正当理由未按规定与中标人订立合同</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《建筑工程设计招标投标管理办法》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521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招标人在订立合同时向中标人提出附加条件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《建筑工程设计招标投标管理办法》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522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投标人以他人名义投标或者以其他方式弄虚作假，骗取中标，且尚未构成犯罪</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《建筑工程设计招标投标管理办法》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523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评标委员会成员违反规定，对应当否决的投标不提出否决意见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《建筑工程设计招标投标管理办法》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524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依法必须公开招标的项目招标人不按照规定在指定媒介发布资格预审公告或者招标公告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525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招标文件、资格预审文件的发售、澄清、修改的时限，或者确定的提交资格预审申请文件、投标文件的时限不符合招标投标法和招标投标法实施条例规定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《工程建设项目勘察设计招标投标办法》、                                                                        《工程建设项目货物招标投标办法》、                                                                                       《工程建设项目施工招标投标办法》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526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依法必须进行招标的项目的投标人以他人名义投标，利用伪造、转让、租借、无效的资质证书参加投标，或者请其他单位在自己编制的投标文件上代为签字盖章，弄虚作假，骗取中标，且未构成犯罪</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527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招标人以抽签、摇号等不合理的条件限制或者排斥资格预审合格的潜在投标人参加投标，对潜在投标人实行歧视待遇的，强制要求投标人组成联合体共同投标，或者限制投标人之间竞争</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528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招标人与中标人不按照招标文件和中标人的投标文件订立合同</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529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招标人在不同媒介发布的同一招标项目的资格预审公告或者招标公告内容不一致，影响潜在投标人申请资格预审或者投标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《工程建设项目勘察设计招标投标办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530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招标人无正当理由不发出中标通知书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《工程建设项目货物招标投标办法》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531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招标人无正当理由不与中标人订立合同</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《工程建设项目货物招标投标办法》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532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在订立合同时招标人向中标人提出附加条件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《工程建设项目货物招标投标办法》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533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中标通知书发出后，中标人放弃中标项目的，无正当理由不与招标人签订合同的，在签订合同时向招标人提出附加条件或者更改合同实质性内容的，或者拒不提交所要求的履约保证金</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《工程建设项目货物招标投标办法》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534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依法必须进行招标的项目而不招标的，将必须进行招标的项目化整为零或者以其他任何方式规避招标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535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招标代理机构违法泄露应当保密的与招标投标活动有关的情况和资料，或者与招标人、投标人串通损害国家利益、社会公共利益或者他人合法权益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536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招标人以不合理的条件限制或者排斥潜在投标人，对潜在投标人实行歧视待遇，强制要求投标人组成联合体共同投标，或者限制投标人之间竞争</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537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依法必须进行招标项目的招标人向他人透露已获取招标文件的潜在投标人的名称、数量或者可能影响公平竞争的有关招标投标的其他情况，或者泄露标底</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538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招标人依法应当公开招标而采用邀请招标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539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投标人相互串通投标或者与招标人串通投标，投标人以向招标人或者评标委员会成员行贿的手段谋取中标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540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投标人以他人名义投标或者以其他方式弄虚作假，骗取中标的，尚未构成犯罪</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541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依法必须进行招标的项目，招标人违法与投标人就投标价格、投标方案等实质性内容进行谈判</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542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评标委员会成员应当回避而不回避，擅离职守，不按照招标文件规定的评标标准和方法评标，私下接触投标人，向招标人征询确定中标人的意向或者接受任何单位或者个人明示或者暗示提出的倾向或者排斥特定投标人的要求，对依法应当否决的投标不提出否决意见，暗示或者诱导投标人作出澄清、说明或者接受投标人主动提出的澄清、说明，或者有其他不能客观公正地履行职责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543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中标通知书发出后，中标人放弃中标项目；无正当理由不与招标人签订合同；在签订合同时向招标人提出附加条件或者更改合同实质性内容；或者拒不提交所要求的履约保证金</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544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中标人将中标项目转让给他人，将中标项目肢解后分别转让给他人，违法将中标项目的部分主体、关键性工作分包给他人，或者分包人再次分包</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545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招标人与中标人不按照招标文件和中标人的投标文件订立合同；合同的主要条款与招标文件、中标人的投标文件的内容不一致，或者招标人、中标人订立背离合同实质性内容的协议；或者招标人擅自提高履约保证金或强制要求中标人垫付中标项目建设资金</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546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工程招标投标管理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中标人不按照与招标人订立的合同履行义务，情节严重</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《工程建设项目施工招标投标办法》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547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开山、采石、开矿等破坏传统格局和历史风貌</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548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占用保护规划确定保留的园林绿地、河湖水系、道路等</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549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修建生产、储存爆炸性、易燃性、放射性、毒害性、腐蚀性物品的工厂、仓库等</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550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在历史建筑上刻划、涂污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551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未经城乡规划主管部门会同同级文物主管部门批准拆除历史建筑以外的建筑物、构筑物或者其他设施；或者经批准但是在活动过程中对传统格局、历史风貌或者历史建筑构成破坏性影响</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552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城乡规划主管部门会同同级文物主管部门批准对历史建筑进行外部修缮装饰、添加设施以及改变历史建筑的结构或者使用性质；或者经批准但是在活动过程中对传统格局、历史风貌或者历史建筑构成破坏性影响</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553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在改变园林绿地、河湖水系等自然状态的活动中，对传统格局、历史风貌或者历史建筑构成破坏性影响</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554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在核心保护范围内进行影视摄制、举办大型群众性活动中，对传统格局、历史风貌或者历史建筑构成破坏性影响</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555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在其他影响传统格局、历史风貌或者历史建筑的活动中，构成破坏性影响</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556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损坏或者擅自迁移、拆除历史建筑</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557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擅自设置、移动、涂改或者损毁历史文化街区、名镇、名村标志牌</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558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历史文化名城、名镇、名村保护范围内，开山、采石、开矿等破坏传统格局和历史风貌，占用保护规划确定保留的园林绿地、河湖水系、道路等，修建生产、储存爆炸性、易燃性、放射性、毒害性、腐蚀性物品的工厂、仓库等，逾期不恢复原状或者不采取其他补救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5.强制决定；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1.除强制决定外其他内容：长期公开（动态调整）；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2.强制决定：20个工作日内。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559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城乡规划主管部门会同同级文物主管部门批准，改变园林绿地、河湖水系等自然状态，进行影视摄制、举办大型群众性活动，拆除历史建筑以外的建筑物、构筑物或者其他设施，对历史建筑进行外部修缮装饰、添加设施以及改变历史建筑的结构或者使用性质，其他影响传统格局、历史风貌或者历史建筑，逾期不恢复原状或者不采取其他补救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5.强制决定；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1.除强制决定外其他内容：长期公开（动态调整）；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2.强制决定：20个工作日内。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560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历史文化名城名镇名村保护</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损坏或者擅自迁移、拆除历史建筑，逾期不恢复原状或者不采取其他补救措施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5.强制决定；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《历史文化名城名镇名村保护条例》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1.除强制决定外其他内容：长期公开（动态调整）；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2.强制决定：20个工作日内。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561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绿化管理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损坏城市树木花草    </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《城市绿化条例》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562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绿化管理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擅自砍伐城市树木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《城市绿化条例》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563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绿化管理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砍伐、擅自迁移古树名木或者因养护不善致使古树名木受到损伤或者死亡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《城市绿化条例》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564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绿化管理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损坏城市绿化设施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《城市绿化条例》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565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绿化管理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未经同意擅自占用城市绿化用地</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《城市绿化条例》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566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绿化管理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不服从公共绿地管理单位管理的商业、服务摊点</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《城市绿化条例》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567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绿化管理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在城市绿地范围内进行拦河截溪、取土采石、设置垃圾堆场、排放污水以及其他对城市生态环境造成破坏活动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《城市绿线管理办法》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568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随地吐痰、便溺，乱扔果皮、纸屑和烟头等废弃物</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569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在城市建筑物、设施以及树木上涂写、刻画或者未经批准张挂、张贴宣传品等</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570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在城市人民政府规定的街道的临街建筑物的阳台和窗外，堆放、吊挂有碍市容的物品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571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不按规定的时间、地点、方式，倾倒垃圾、粪便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572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不履行卫生责任区清扫保洁义务或者不按规定清运、处理垃圾和粪便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573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运输液体、散装货物不作密封、包扎、覆盖，造成泄漏、遗撒</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574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临街工地不设置护栏或者不作遮挡、停工场地不及时整理并作必要覆盖或者竣工后不及时清理和平整场地，影响市容和环境卫生</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575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饲养家畜家禽影响市容和环境卫生</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576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未经城市人民政府市容环境卫生行政主管部门同意，擅自设置大型户外广告，影响市容</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577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未经城市人民政府市容环境卫生行政主管部门批准，擅自在街道两侧和公共场地堆放物料，搭建建筑物、构筑物或者其他设施，影响市容</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578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未经批准擅自拆除环境卫生设施或者未按批准的拆迁方案进行拆迁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579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不符合城市容貌标准、环境卫生标准的建筑物或者设施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580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损坏各类环境卫生设施及其附属设施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581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单位和个人未按规定缴纳城市生活垃圾处理费</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582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未按照城市生活垃圾治理规划和环境卫生设施标准配套建设城市生活垃圾收集设施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583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城市生活垃圾处置设施未经验收或者验收不合格投入使用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584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未经批准擅自关闭、闲置或者拆除城市生活垃圾处置设施、场所</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585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随意倾倒、抛洒、堆放城市生活垃圾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586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未经批准从事城市生活垃圾经营性清扫、收集、运输或者处置活动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587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从事城市生活垃圾经营性清扫、收集、运输的企业在运输过程中沿途丢弃、遗撒生活垃圾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588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从事生活垃圾经营性清扫、收集、运输的企业不按照环境卫生作业标准和作业规范，在规定的时间内及时清扫、收运城市生活垃圾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589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从事生活垃圾经营性清扫、收集、运输的企业未将收集的城市生活垃圾运到直辖市、市、县人民政府建设（环境卫生）主管部门认可的处置场所</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590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从事生活垃圾经营性清扫、收集、运输的企业清扫、收运城市生活垃圾后，未对生活垃圾收集设施及时保洁、复位，清理作业场地，保持生活垃圾收集设施和周边环境的干净整洁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591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从事生活垃圾经营性清扫、收集、运输的企业用于收集、运输城市生活垃圾的车辆、船舶未做到密闭、完好和整洁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592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从事生活垃圾经营性清扫、收集、运输的企业未严格按照国家有关规定和技术标准，处置城市生活垃圾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593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从事生活垃圾经营性清扫、收集、运输的企业未按照规定处理处置过程中产生的污水、废气、废渣、粉尘等，防止二次污染</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594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从事生活垃圾经营性清扫、收集、运输的企业未按照所在地建设（环境卫生）主管部门规定的时间和要求接收生活垃圾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595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从事生活垃圾经营性清扫、收集、运输的企业未按照要求配备城市生活垃圾处置设备、设施，保证设施、设备运行良好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596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从事生活垃圾经营性清扫、收集、运输的企业未保证城市生活垃圾处置站、场（厂）环境整洁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597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从事生活垃圾经营性清扫、收集、运输的企业未按照要求配备合格的管理人员及操作人员</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598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从事生活垃圾经营性清扫、收集、运输的企业未对每日收运、进出场站、处置的生活垃圾进行计量，或未按照要求将统计数据和报表报送所在地建设（环境卫生）主管部门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599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生活垃圾经营性清扫、收集、运输的企业未按照要求定期进行水、气、土壤等环境影响监测，或未对生活垃圾处理设施的性能和环保指标进行检测、评价，或未向所在地建设（环境卫生）主管部门报告检测、评价结果</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600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从事城市生活垃圾经营性清扫、收集、运输的企业，未经批准擅自停业、歇业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601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从事城市生活垃圾经营性处置的企业，未经批准擅自停业、歇业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《城市生活垃圾管理办法》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602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将建筑垃圾混入生活垃圾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603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将危险废物混入建筑垃圾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604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擅自设立弃置场受纳建筑垃圾    </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605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建筑垃圾储运消纳场受纳工业垃圾、生活垃圾和有毒有害垃圾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606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施工单位未及时清运工程施工过程中产生的建筑垃圾，造成环境污染</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607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施工单位将建筑垃圾交给个人或者未经核准从事建筑垃圾运输的单位处置</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608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处置建筑垃圾的单位在运输建筑垃圾过程中沿途丢弃、遗撒建筑垃圾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609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涂改、倒卖、出租、出借或者以其他形式非法转让城市建筑垃圾处置核准文件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610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未经核准擅自处置建筑垃圾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611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处置超出核准范围的建筑垃圾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612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任何单位和个人随意倾倒、抛撒或者堆放建筑垃圾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《城市建筑垃圾管理规定》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613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擅自在动物园内摆摊设点</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《城市动物园管理规定》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614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擅自占用城市公厕规划用地或者改变其性质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《城市公厕管理办法》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615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建设单位经批准使用的土地含有城市公厕规划用地的，建设单位未按照城市公厕规划和城市人民政府环境卫生行政主管部门的要求修建公厕，并向社会开放使用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《城市公厕管理办法》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616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未按分工负责城市公厕的建设和维修管理    </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《城市公厕管理办法》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617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影剧院、商店、饭店、车站等公共建筑没有附设公厕或者原有公厕及其卫生设施不足的，未按照城市人民政府环境卫生行政主管部门的要求进行新建、扩建或者改造</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《城市公厕管理办法》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618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公共建筑附设的公厕及其卫生设施的设计和安装，不符合国家和地方的有关标准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《城市公厕管理办法》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619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对于损坏严重或者年久失修的公厕，有关单位未按照分工负责建设和维修管理，或在拆除重建时未先建临时公厕</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《城市公厕管理办法》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620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独立设置的城市公厕竣工时，建设单位未通知城市人民政府环境卫生主管部门或者其指定的部门参加验收；将验收不合格的独立设置的城市公厕交付使用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《城市公厕管理办法》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621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在公厕内乱丢垃圾、污物，随地吐痰，乱涂乱画</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《城市公厕管理办法》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622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破坏公厕设施、设备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《城市公厕管理办法》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623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未经批准擅自占用或者改变公厕使用性质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《城市公厕管理办法》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624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在运输过程中沿途丢弃、遗撒生活垃圾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《中华人民共和国固体废物污染环境防治法》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625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对涉嫌从事无照经营的场所，予以查封；对涉嫌用于无照经营的工具、设备、原材料、产品（商品）等物品，予以查封、扣押</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5.强制决定；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《无证无照经营查处办法》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1.除强制决定外其他内容：长期公开（动态调整）；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2.强制决定：20个工作日内。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626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主次干道两侧和临街的建筑物、构筑物容貌不符合城市容貌标准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627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利用公共设施、景观设施或者管线晾晒衣服、摆放物品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628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占用城市道路、桥梁、地下通道、公共广场以及其他公共场所堆放物料，或者经批准临时堆放物料到期后未及时清理，擅自在城市道路、桥梁、地下通道、公共广场以及其他公共场所搭建临时建筑物、构筑物或者其他设施，或者经批准临时建设到期后未及时拆除</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629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经营者擅自超出门、窗、外墙进行店外经营、作业或者摆设商品、桌椅、广告牌等物品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630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擅自占用城市道路、桥梁、地下通道、公共停车位、公共广场、公共绿地以及其他公共场所设摊经营、兜售物品或者进行文艺表演</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631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擅自在城市建筑物、设施上张挂、张贴宣传品等，在建筑物、构筑物、城市道路、树木以及其他户外设施或者公共场所涂写、刻画，或者经批准设置临时宣传品到期后未及时清理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632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往他人交通工具上投放印刷品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633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随地吐痰、便溺，乱扔果皮、果核、纸屑、烟蒂、玻璃瓶、饮料罐、口香糖、包装袋或者乱倒垃圾、渣土、污水、污油、粪便等废弃物</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634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乱扔动物尸体</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635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从建筑物、机动车内向外抛掷垃圾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636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在城市道路或者公共场所从事车辆清洗活动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637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非因教学、科研等特殊需要，在城区内饲养鸡、鸭、鹅、兔、羊、猪等家禽家畜或者饲养信鸽影响周围市容和环境卫生</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638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随意倾倒、抛撒、焚烧或者堆放生活垃圾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639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未将大件垃圾按照规定时间投放到指定场所，或者将大件垃圾投放到生活垃圾收集点或者收集容器内</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640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未在显著位置公示配套建设的生活垃圾中转站、公共厕所等公共环境卫生设施，未将配套建设的公共环境卫生设施在规划总平面图、销售广告、建设项目沙盘等载体予以明确标示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641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配套建设的环境卫生设施未与主体工程同时竣工验收、同时投入使用，或者分期建设的建设工程配套建设的环境卫生设施未与首期工程同时竣工验收、同时投入使用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642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市容环境卫生管理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损坏环境卫生设施、擅自拆除、迁移环境卫生设施，或者未按规定拆除、迁移环境卫生设施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643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未取得设计、施工资格或者未按照资质等级承担城市道路的设计、施工任务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644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未按照城市道路设计、施工技术规范设计、施工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645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未按照设计图纸施工或者擅自修改图纸</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646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擅自使用未经验收或者验收不合格的城市道路</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647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承担城市道路养护、维修的单位未定期对城市道路进行养护、维修或者未按照规定的期限修复竣工，并拒绝接受市政工程行政主管部门监督、检查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648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未对设在城市道路上的各种管线的检查井、箱盖或者城市道路附属设施的缺损及时补缺或者修复</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649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未在城市道路施工现场设置明显标志和安全防围设施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650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占用城市道路期满或者挖掘城市道路后，不及时清理现场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651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依附于城市道路建设各种管线、杆线等设施，不按照规定办理批准手续</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652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紧急抢修埋设在城市道路下的管线，不按照规定补办批准手续</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653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未按照批准的位置、面积、期限占用或者挖掘城市道路，或者需要移动位置、扩大面积、延长时间，未提前办理变更审批手续</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654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擅自占用或者挖掘城市道路</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655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履带车、铁轮车或者超重、超高、超长车辆擅自在城市道路上行驶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656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机动车在桥梁或者非指定的城市道路上试刹车</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657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擅自在城市道路上建设建筑物、构筑物</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658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在桥梁上架设压力在4公斤/平方厘米（0.4兆帕）以上的煤气管道、10千伏以上的高压电力线和其他易燃易爆管线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659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擅自在桥梁或者路灯设施上设置广告牌或者其他挂浮物</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660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其他损害、侵占城市道路的行为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《城市道路管理条例》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661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未取得燃气经营许可证从事燃气经营活动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662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燃气经营者不按照燃气经营许可证的规定从事燃气经营活动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663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燃气经营者拒绝向市政燃气管网覆盖范围内符合用气条件的单位或者个人供气</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664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燃气经营者倒卖、抵押、出租、出借、转让、涂改燃气经营许可证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665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燃气经营者未履行必要告知义务擅自停止供气、调整供气量，或者未经审批擅自停业或者歇业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666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燃气经营者向未取得燃气经营许可证的单位或者个人提供用于经营的燃气</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667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燃气经营者在不具备安全条件的场所储存燃气</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668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燃气经营者要求燃气用户购买其指定的产品或者接受其提供的服务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669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燃气经营者未向燃气用户持续、稳定、安全供应符合国家质量标准的燃气，或者未对燃气用户的燃气设施定期进行安全检查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670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擅自为非自有气瓶充装燃气或者销售未经许可的充装单位充装的瓶装燃气</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671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销售充装单位擅自为非自有气瓶充装的瓶装燃气</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672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冒用其他企业名称或者标识从事燃气经营、服务活动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673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经营者未按照国家有关工程建设标准和安全生产管理的规定，设置燃气设施防腐、绝缘、防雷、降压、隔离等保护装置和安全警示标志；或者未定期进行巡查、检测、维修和维护；或者未采取措施及时消除燃气安全事故隐患</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674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燃气用户及相关单位和个人擅自操作公用燃气阀门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675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燃气用户及相关单位和个人将燃气管道作为负重支架或者接地引线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676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燃气用户及相关单位和个人安装、使用不符合气源要求的燃气燃烧器具</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677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燃气用户及相关单位和个人擅自安装、改装、拆除户内燃气设施和燃气计量装置</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678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燃气用户及相关单位和个人在不具备安全条件的场所使用、储存燃气</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679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燃气用户及相关单位和个人改变燃气用途或者转供燃气</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680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未设立售后服务站点或者未配备经考核合格的燃气燃烧器具安装、维修人员</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681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燃气燃烧器具的安装、维修不符合国家有关标准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682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在燃气设施保护范围内进行爆破、取土等作业或者动用明火</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683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在燃气设施保护范围内倾倒、排放腐蚀性物质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684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在燃气设施保护范围内放置易燃易爆物品或者种植深根植物</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685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在燃气设施保护范围内未与燃气经营者共同制定燃气设施保护方案，采取相应的安全保护措施，从事敷设管道、打桩、顶进、挖掘、钻探等可能影响燃气设施安全活动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686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侵占、毁损、擅自拆除、移动燃气设施或者擅自改动市政燃气设施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687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毁损、覆盖、涂改、擅自拆除或者移动燃气设施安全警示标志</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688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建设工程施工范围内有地下燃气管线等重要燃气设施，建设单位未会同施工单位与管道燃气经营者共同制定燃气设施保护方案，或者建设单位、施工单位未采取相应的安全保护措施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《城镇燃气管理条例》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689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城市自来水供水企业或者自建设施对外供水的企业供水水质、水压不符合国家规定标准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690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城市自来水供水企业或者自建设施对外供水的企业擅自停止供水或者来履行停水通知义务    </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691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城市自来水供水企业或者自建设施对外供水的企业未按照规定检修供水设施或者在供水设施发生故障后未及时抢修</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692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无证或者超越资质证书规定的经营范围进行城市供水工程的设计或者施工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693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未按国家规定的技术标准和规范进行城市供水工程的设计或者施工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694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违反城市供水发展规划及其年度建设计划兴建城市供水工程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695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未按规定缴纳水费</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696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盗用或者转供城市公共供水</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697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在规定的城市公共供水管道及其附属设施的安全保护范围内进行危害供水设施安全活动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698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擅自将自建设施供水管网系统与城市公共供水管网系统连接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699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产生或者使用有毒有害物质的单位将其生产用水管网系统与城市公共供水管网系统直接连接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700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在城市公共供水管道上直接装泵抽水</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701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擅自拆除、改装或者迁移城市公共供水设施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702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在雨水、污水分流地区，建设单位、施工单位将雨水管网、污水管网相互混接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703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城镇排水与污水处理设施覆盖范围内的排水单位和个人，未按照国家有关规定将污水排入城镇排水设施，或者在雨水、污水分流地区将污水排入雨水管网</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704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排水户未取得污水排入排水管网许可证向城镇排水设施排放污水</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705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排水户不按照污水排入排水管网许可证的要求排放污水</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706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因城镇排水设施维护或者检修可能对排水造成影响或者严重影响，城镇排水设施维护运营单位未提前通知相关排水户；或者未事先向城镇排水主管部门报告，采取应急处理措施；或者未按照防汛要求对城镇排水设施进行全面检查、维护、清疏，影响汛期排水畅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707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城镇污水处理设施维护运营单位未按照国家有关规定检测进出水水质，或者未报送污水处理水质和水量、主要污染物削减量等信息和生产运营成本等信息</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708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城镇污水处理设施维护运营单位擅自停运城镇污水处理设施，未按照规定事先报告或者采取应急处理措施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709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城镇污水处理设施维护运营单位或者污泥处理处置单位对产生的污泥以及处理处置后的污泥的去向、用途、用量等未进行跟踪、记录的，或者处理处置后的污泥不符合国家有关标准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710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擅自倾倒、堆放、丢弃、遗撒污泥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711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排水单位或者个人不缴纳污水处理费</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712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城镇排水与污水处理设施维护运营单位未按照国家有关规定履行日常巡查、维修和养护责任，保障设施安全运行</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713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城镇排水与污水处理设施维护运营单位未及时采取防护措施、组织事故抢修</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714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城镇排水与污水处理设施维护运营单位因巡查、维护不到位，导致窨井盖丢失、损毁，造成人员伤亡和财产损失</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715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从事危及城镇排水与污水处理设施安全的活动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716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有关单位未与施工单位、设施维护运营单位等共同制定设施保护方案，并采取相应的安全防护措施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717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擅自拆除、改动城镇排水与污水处理设施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718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城市的新建、扩建和改建工程项目未按规定配套建设节约用水设施或者节约用水设施经验收不合格</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《城市节约用水管理规定》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719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逾期不缴纳超计划用水加价水费</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《城市节约用水管理规定》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720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拒不安装生活用水分户计量水表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《城市节约用水管理规定》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721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城镇污水集中处理设施的运营单位或者污泥处理处置单位，处理处置后的污泥不符合国家标准，或者对污泥去向等未进行记录</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《中华人民共和国水污染防治法》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722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城市自来水供水企业和自建设施对外供水的企业新建、改建、扩建的饮用水供水工程项目未经建设行政主管部门设计审查和竣工验收而擅自建设并投入使用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《生活饮用水卫生监督管理办法》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723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城市自来水供水企业和自建设施对外供水的企业未按规定进行日常性水质检验工作</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《生活饮用水卫生监督管理办法》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724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特许经营者违反法律、行政法规和国家强制性标准，严重危害公共利益，或者造成重大质量、安全事故或者突发环境事件</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《基础设施和公用事业特许经营管理办法》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725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以欺骗、贿赂等不正当手段取得特许经营项目</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《基础设施和公用事业特许经营管理办法》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726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在城镇排水与污水处理设施覆盖范围内，未按照国家有关规定将污水排入城镇排水设施，或者在雨水、污水分流地区将污水排入雨水管网</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《城镇污水排入排水管网许可管理办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727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排水户未取得排水许可，向城镇排水设施排放污水</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《城镇污水排入排水管网许可管理办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728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排水户未按照排水许可证的要求，向城镇排水设施排放污水</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《城镇污水排入排水管网许可管理办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729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排水户名称、法定代表人等其他事项变更，未按规定及时向城镇排水主管部门申请办理变更</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《城镇污水排入排水管网许可管理办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730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排水户以欺骗、贿赂等不正当手段取得排水许可</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《城镇污水排入排水管网许可管理办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731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排水户因发生事故或者其他突发事件，排放的污水可能危及城镇排水与污水处理设施安全运行，没有立即停止排放，未采取措施消除危害，或者并未按规定及时向城镇排水主管部门等有关部门报告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《城镇污水排入排水管网许可管理办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732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从事危及城镇排水设施安全的活动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《城镇污水排入排水管网许可管理办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733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排水户违反规定，拒不接受水质、水量监测或者妨碍、阻挠城镇排水主管部门依法监督检查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《城镇污水排入排水管网许可管理办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734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不具备相应资质的单位和不具备相应执业资格证书的专业技术人员从事城市照明工程勘察、设计、施工、监理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《城市照明管理规定》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735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在城市景观照明中有过度照明等超能耗标准行为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《城市照明管理规定》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736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在城市照明设施上刻划、涂污</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《城市照明管理规定》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737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在城市照明设施安全距离内，擅自植树、挖坑取土或者设置其他物体，或者倾倒含酸、碱、盐等腐蚀物或者具有腐蚀性的废渣、废液</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《城市照明管理规定》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738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擅自在城市照明设施上张贴、悬挂、设置宣传品、广告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《城市照明管理规定》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739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擅自在城市照明设施上架设线缆、安置其它设施或者接用电源</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《城市照明管理规定》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740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擅自迁移、拆除、利用城市照明设施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《城市照明管理规定》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741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其他可能影响城市照明设施正常运行的行为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《城市照明管理规定》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742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擅自采用没有工程建设标准又未经核准的新技术、新材料</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《市政公用设施抗灾设防管理规定》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743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擅自变动或者破坏市政公用设施的防灾设施、抗震抗风构件、隔震或者振动控制装置、安全监测系统、健康监测系统、应急自动处置系统以及地震反应观测系统等设施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《市政公用设施抗灾设防管理规定》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744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未对经鉴定不符合抗震要求的市政公用设施进行改造、改建或者抗震加固，又未限制使用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《市政公用设施抗灾设防管理规定》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745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供水水质达不到国家有关标准规定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《城市供水水质管理规定》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746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城市供水单位、二次供水管理单位未按规定进行水质检测或者委托检测</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《城市供水水质管理规定》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747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对于实施生产许可证管理的净水剂及与制水有关的材料等，选用未获证企业产品</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《城市供水水质管理规定》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748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城市供水单位使用未经检验或者检验不合格的净水剂及有关制水材料</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《城市供水水质管理规定》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749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城市供水单位使用未经检验或者检验不合格的城市供水设备、管网</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《城市供水水质管理规定》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750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二次供水管理单位，未按规定对各类储水设施进行清洗消毒</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《城市供水水质管理规定》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751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城市供水单位、二次供水管理单位隐瞒、缓报、谎报水质突发事件或者水质信息</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《城市供水水质管理规定》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752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有危害城市供水水质安全的其他行为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《城市供水水质管理规定》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753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城市供水单位未制定城市供水水质突发事件应急预案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《城市供水水质管理规定》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754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城市供水单位未按规定上报水质报表</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《城市供水水质管理规定》</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755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建设单位未移交地下管线工程档案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《城市地下管线工程档案管理办法》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756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地下管线专业管理单位未移交地下管线工程档案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《城市地下管线工程档案管理办法》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757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获得特许经营权的企业擅自停业、歇业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《市政公用事业特许经营管理办法》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758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以欺骗、贿赂等不正当手段获得特许经营权</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《市政公用事业特许经营管理办法》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759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城市桥梁产权人或者委托管理人未按照规定编制城市桥梁养护维修的中长期规划和年度计划，或者未经批准即实施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《城市桥梁检测和养护维修管理办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760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城市桥梁产权人或者委托管理人未按照规定设置相应的标志，并保持其完好、清晰</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《城市桥梁检测和养护维修管理办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761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城市桥梁产权人或者委托管理人未按照规定委托具有相应资格的机构对城市桥梁进行检测评估</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《城市桥梁检测和养护维修管理办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762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城市桥梁产权人或者委托管理人未按照规定制定城市桥梁的安全抢险预备方案</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《城市桥梁检测和养护维修管理办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763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城市桥梁产权人或者委托管理人未按照规定对城市桥梁进行养护维修</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《城市桥梁检测和养护维修管理办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764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单位或者个人擅自在城市桥梁上架设各类管线、设置广告等辅助物</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《城市桥梁检测和养护维修管理办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765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单位和个人擅自在城市桥梁施工控制范围内从事河道疏浚、挖掘、打桩、地下管道顶进、爆破等</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《城市桥梁检测和养护维修管理办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766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超限机动车辆、履带车、铁轮车等需经过城市桥梁的，在报公安交通管理部门审批前，未先经城市人民政府市政工程设施行政主管部门同意，或未采取相应技术措施就通行</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《城市桥梁检测和养护维修管理办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767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经过检测评估，确定城市桥梁的承载能力下降，但尚未构成危桥的，城市桥梁产权人和委托管理人未及时设置警示标志，或未立即采取加固等安全措施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《城市桥梁检测和养护维修管理办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768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经检测评估判定为危桥的，城市桥梁产权人和委托管理人未立即采取措施，设置显著的警示标志，或未在二十四小时内，向城市人民政府市政工程设施行政主管部门报告；市政工程设施行政主管部门提出处理意见后，城市桥梁产权人和委托管理人未在期限内排除危险；在危险排除之前，城市桥梁产权人和委托管理人使用或者转让危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《城市桥梁检测和养护维修管理办</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769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市政公用管理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城镇污水处理设施维护运营单位或者污泥处理处置单位对产生的污泥以及处理处置后的污泥的去向、用途、用量等未进行跟踪、记录，或者处理处置后的污泥不符合国家有关标准，逾期不采取治理措施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5.强制决定；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《城镇排水与污水处理条例》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1.除强制决定外其他内容：长期公开（动态调整）；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2.强制决定：20个工作日内。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770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违法建设</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未取得建设工程规划许可证或者未按照建设工程规划许可证的规定进行建设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《中华人民共和国城乡规划法》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771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违法建设</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建设单位或者个人未经批准进行临时建设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《中华人民共和国城乡规划法》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772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违法建设</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建设单位或者个人未按照批准内容进行临时建设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《中华人民共和国城乡规划法》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773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违法建设</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临时建筑物、构筑物超过批准期限建设单位或者个人不拆除</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《中华人民共和国城乡规划法》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774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违法建设</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城乡规划主管部门作出责令停止建设或者限期拆除的决定后，当事人不停止建设或者逾期不拆除</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5.强制决定；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《中华人民共和国城乡规划法》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1.除强制决定外其他内容：长期公开（动态调整）；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2.强制决定：20个工作日内。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　</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775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违法建设</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凡不符合城市容貌标准、环境卫生标准的建筑物或者设施，逾期未改造或者未拆除</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5.强制决定；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《城市市容和环境卫生管理条例》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1.除强制决定外其他内容：长期公开（动态调整）；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2.强制决定：20个工作日内。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776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物业管理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住宅物业的建设单位未通过招投标的方式选聘物业服务企业或者未经批准，擅自采用协议方式选聘物业服务企业</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777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物业管理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建设单位擅自处分属于业主的物业共用部位、共用设施设备的所有权或者使用权</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778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物业管理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逾期仍不移交有关资料</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779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物业管理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物业服务企业将一个物业管理区域内的全部物业管理一并委托给他人</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780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物业管理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挪用专项维修资金</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781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物业管理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建设单位在物业管理区域内不按照规定配置必要的物业管理用房</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782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物业管理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未经业主大会同意，物业服务企业擅自改变物业管理用房的用途</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783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物业管理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擅自改变物业管理区域内按照规划建设的公共建筑和共用设施用途</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784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物业管理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擅自占用、挖掘物业管理区域内道路、场地，损害业主共同利益</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785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物业管理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擅自利用物业共用部位、共用设施设备进行经营</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《物业管理条例》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786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住房公积金管理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单位不办理住房公积金缴存登记或者不为本单位职工办理住房公积金账户设立手续</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《住房公积金管理条例》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787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住房公积金管理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单位逾期不缴或者少缴住房公积金</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《住房公积金管理条例》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788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生态环境保护 </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建筑施工噪音污染。</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《中华人民共和国环境噪声污染防治法》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789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生态环境保护 </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经营中的文化娱乐场所边界噪声不超过国家规定的环境噪声排放标准；在商业经营活动中使用空调器、冷却塔等产生的边界噪声超过国家规定的环境噪声排放标准</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《广东省实施&lt;中华人民共和国环境噪声污染防治法&gt;办法》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790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生态环境保护 </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餐饮服务业油烟污染、露天烧烤污染。</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《中华人民共和国大气污染防治法》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791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生态环境保护 </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城市焚烧沥青塑料垃圾等烟尘和恶臭污染、露天焚烧秸秆落叶等烟尘污染、燃放烟花爆竹污染。</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《中华人民共和国大气污染防治法》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792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生态环境保护 </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在居民住宅楼、未配套设立专用烟道的商住综合楼以及商住综合楼内与居住层相邻的商业楼层内新建、改建、扩建产生油烟、异味、废气的餐饮服务项目。</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《中华人民共和国大气污染防治法》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793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生态环境保护 </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封堵、改变专用烟道和向城市地下排水管道排放油烟。</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《广东省大气污染防治条例》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794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生态环境保护 </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建设单位未对暂时不能开工的建设用地的裸露地面进行覆盖，或者未对超过三个月不能开工的建设用地的裸露地面进行绿化、铺装或者遮盖</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《江门市扬尘污染防治管理办法》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795</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生态环境保护 </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贮存水泥、石灰、石膏、砂土等的场所未密闭水泥、石灰、石膏、砂土等易产生扬尘的物料的；或对不能密闭的易产生扬尘的物料，未设置不低于堆放物高度的严密围挡；填埋场和消纳场未采取有效措施防治扬尘污染；装卸物料未采取密闭或者喷淋等方式控制扬尘排放</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《江门市扬尘污染防治管理办法》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796</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生态环境保护 </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拒不执行停止工地土石方作业或者建筑物拆除施工等重污染天气应急措施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《江门市扬尘污染防治管理办法》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797</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生态环境保护 </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拒不配合负有扬尘污染防治监督管理职责的部门进行现场检查，或者在检查中弄虚作假</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《江门市扬尘污染防治管理办法》</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798</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户外广告管理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未经城市管理主管部门同意，擅自设置大型户外广告设施，影响市容</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《江门市户外广告设施和招牌设置管理条例》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799</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户外广告管理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设置人未按照城市管理主管部门准予同意的书面决定的要求设置大型户外广告设施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《江门市户外广告设施和招牌设置管理条例》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800</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户外广告管理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设置人未在设置期限届满后十日内拆除大型户外广告设施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《江门市户外广告设施和招牌设置管理条例》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801</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户外广告管理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设置非大型户外广告设施不符合户外广告设施设置专项规划要求</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《江门市户外广告设施和招牌设置管理条例》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802</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户外广告管理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未在设置期限届满后三日内拆除临时性户外广告设施</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《江门市户外广告设施和招牌设置管理条例》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803</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户外广告管理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未按照招牌设置规范设置招牌的，经城市管理主管部门责令限期改正且逾期不改正</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《江门市户外广告设施和招牌设置管理条例》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804</w:t>
            </w:r>
          </w:p>
        </w:tc>
        <w:tc>
          <w:tcPr>
            <w:tcW w:w="638"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户外广告管理</w:t>
            </w:r>
          </w:p>
        </w:tc>
        <w:tc>
          <w:tcPr>
            <w:tcW w:w="137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户外广告设施设置人未履行相关维护管理责任，经城市管理主管部门责令限期改正且逾期不改正</w:t>
            </w:r>
          </w:p>
        </w:tc>
        <w:tc>
          <w:tcPr>
            <w:tcW w:w="188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1.机构职能、权责清单、执法人员名单；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2.执法程序或行政强制流程图；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3.执法依据；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4.行政处罚自由裁量基准；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5.咨询、监督投诉方式；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6.处罚决定；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7.救济渠道。</w:t>
            </w:r>
          </w:p>
        </w:tc>
        <w:tc>
          <w:tcPr>
            <w:tcW w:w="9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《江门市户外广告设施和招牌设置管理条例》</w:t>
            </w:r>
          </w:p>
        </w:tc>
        <w:tc>
          <w:tcPr>
            <w:tcW w:w="1261"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1.除处罚决定外其他内容：长期公开（动态调整）；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2.处罚决定：20个工作日内。</w:t>
            </w:r>
          </w:p>
        </w:tc>
        <w:tc>
          <w:tcPr>
            <w:tcW w:w="1137"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lang w:val="en-US" w:eastAsia="zh-CN"/>
              </w:rPr>
              <w:t>端芬镇人民政府</w:t>
            </w:r>
          </w:p>
        </w:tc>
        <w:tc>
          <w:tcPr>
            <w:tcW w:w="3004"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■政府网站</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618" w:type="dxa"/>
            <w:shd w:val="clear" w:color="auto" w:fill="auto"/>
            <w:vAlign w:val="center"/>
          </w:tcPr>
          <w:p>
            <w:pPr>
              <w:widowControl/>
              <w:jc w:val="center"/>
              <w:rPr>
                <w:rFonts w:ascii="Arial" w:hAnsi="Arial" w:eastAsia="宋体" w:cs="Arial"/>
                <w:kern w:val="0"/>
                <w:sz w:val="18"/>
                <w:szCs w:val="18"/>
              </w:rPr>
            </w:pPr>
            <w:r>
              <w:rPr>
                <w:rFonts w:ascii="Arial" w:hAnsi="Arial" w:eastAsia="宋体" w:cs="Arial"/>
                <w:kern w:val="0"/>
                <w:sz w:val="18"/>
                <w:szCs w:val="18"/>
              </w:rPr>
              <w:t>√</w:t>
            </w:r>
          </w:p>
        </w:tc>
        <w:tc>
          <w:tcPr>
            <w:tcW w:w="619" w:type="dxa"/>
          </w:tcPr>
          <w:p>
            <w:pPr>
              <w:widowControl/>
              <w:jc w:val="center"/>
              <w:rPr>
                <w:rFonts w:ascii="Arial" w:hAnsi="Arial" w:eastAsia="宋体" w:cs="Arial"/>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2" w:hRule="atLeast"/>
          <w:jc w:val="center"/>
        </w:trPr>
        <w:tc>
          <w:tcPr>
            <w:tcW w:w="541" w:type="dxa"/>
            <w:shd w:val="clear" w:color="auto" w:fill="auto"/>
            <w:vAlign w:val="center"/>
          </w:tcPr>
          <w:p>
            <w:pPr>
              <w:widowControl/>
              <w:jc w:val="center"/>
              <w:rPr>
                <w:rFonts w:ascii="宋体" w:hAnsi="宋体" w:eastAsia="宋体" w:cs="宋体"/>
                <w:kern w:val="0"/>
                <w:sz w:val="18"/>
                <w:szCs w:val="18"/>
              </w:rPr>
            </w:pPr>
          </w:p>
        </w:tc>
        <w:tc>
          <w:tcPr>
            <w:tcW w:w="638" w:type="dxa"/>
            <w:shd w:val="clear" w:color="auto" w:fill="auto"/>
            <w:vAlign w:val="center"/>
          </w:tcPr>
          <w:p>
            <w:pPr>
              <w:widowControl/>
              <w:jc w:val="center"/>
              <w:rPr>
                <w:rFonts w:ascii="宋体" w:hAnsi="宋体" w:eastAsia="宋体" w:cs="宋体"/>
                <w:kern w:val="0"/>
                <w:sz w:val="18"/>
                <w:szCs w:val="18"/>
              </w:rPr>
            </w:pPr>
          </w:p>
        </w:tc>
        <w:tc>
          <w:tcPr>
            <w:tcW w:w="1372" w:type="dxa"/>
            <w:shd w:val="clear" w:color="auto" w:fill="auto"/>
            <w:vAlign w:val="center"/>
          </w:tcPr>
          <w:p>
            <w:pPr>
              <w:widowControl/>
              <w:jc w:val="left"/>
              <w:rPr>
                <w:rFonts w:ascii="宋体" w:hAnsi="宋体" w:eastAsia="宋体" w:cs="宋体"/>
                <w:kern w:val="0"/>
                <w:sz w:val="18"/>
                <w:szCs w:val="18"/>
              </w:rPr>
            </w:pPr>
          </w:p>
        </w:tc>
        <w:tc>
          <w:tcPr>
            <w:tcW w:w="1882" w:type="dxa"/>
            <w:shd w:val="clear" w:color="auto" w:fill="auto"/>
            <w:vAlign w:val="center"/>
          </w:tcPr>
          <w:p>
            <w:pPr>
              <w:widowControl/>
              <w:jc w:val="left"/>
              <w:rPr>
                <w:rFonts w:ascii="宋体" w:hAnsi="宋体" w:eastAsia="宋体" w:cs="宋体"/>
                <w:kern w:val="0"/>
                <w:sz w:val="18"/>
                <w:szCs w:val="18"/>
              </w:rPr>
            </w:pPr>
          </w:p>
        </w:tc>
        <w:tc>
          <w:tcPr>
            <w:tcW w:w="950" w:type="dxa"/>
            <w:shd w:val="clear" w:color="auto" w:fill="auto"/>
            <w:vAlign w:val="center"/>
          </w:tcPr>
          <w:p>
            <w:pPr>
              <w:widowControl/>
              <w:jc w:val="left"/>
              <w:rPr>
                <w:rFonts w:ascii="宋体" w:hAnsi="宋体" w:eastAsia="宋体" w:cs="宋体"/>
                <w:kern w:val="0"/>
                <w:sz w:val="18"/>
                <w:szCs w:val="18"/>
              </w:rPr>
            </w:pPr>
          </w:p>
        </w:tc>
        <w:tc>
          <w:tcPr>
            <w:tcW w:w="1261" w:type="dxa"/>
            <w:shd w:val="clear" w:color="auto" w:fill="auto"/>
            <w:vAlign w:val="center"/>
          </w:tcPr>
          <w:p>
            <w:pPr>
              <w:widowControl/>
              <w:jc w:val="left"/>
              <w:rPr>
                <w:rFonts w:ascii="宋体" w:hAnsi="宋体" w:eastAsia="宋体" w:cs="宋体"/>
                <w:kern w:val="0"/>
                <w:sz w:val="18"/>
                <w:szCs w:val="18"/>
              </w:rPr>
            </w:pPr>
          </w:p>
        </w:tc>
        <w:tc>
          <w:tcPr>
            <w:tcW w:w="1137" w:type="dxa"/>
            <w:shd w:val="clear" w:color="auto" w:fill="auto"/>
            <w:vAlign w:val="center"/>
          </w:tcPr>
          <w:p>
            <w:pPr>
              <w:widowControl/>
              <w:jc w:val="left"/>
              <w:rPr>
                <w:rFonts w:ascii="宋体" w:hAnsi="宋体" w:eastAsia="宋体" w:cs="宋体"/>
                <w:kern w:val="0"/>
                <w:sz w:val="18"/>
                <w:szCs w:val="18"/>
              </w:rPr>
            </w:pPr>
          </w:p>
        </w:tc>
        <w:tc>
          <w:tcPr>
            <w:tcW w:w="3004" w:type="dxa"/>
            <w:shd w:val="clear" w:color="auto" w:fill="auto"/>
            <w:vAlign w:val="center"/>
          </w:tcPr>
          <w:p>
            <w:pPr>
              <w:widowControl/>
              <w:jc w:val="left"/>
              <w:rPr>
                <w:rFonts w:ascii="宋体" w:hAnsi="宋体" w:eastAsia="宋体" w:cs="宋体"/>
                <w:kern w:val="0"/>
                <w:sz w:val="18"/>
                <w:szCs w:val="18"/>
              </w:rPr>
            </w:pPr>
          </w:p>
        </w:tc>
        <w:tc>
          <w:tcPr>
            <w:tcW w:w="618" w:type="dxa"/>
            <w:shd w:val="clear" w:color="auto" w:fill="auto"/>
            <w:vAlign w:val="center"/>
          </w:tcPr>
          <w:p>
            <w:pPr>
              <w:widowControl/>
              <w:jc w:val="center"/>
              <w:rPr>
                <w:rFonts w:ascii="Arial" w:hAnsi="Arial" w:eastAsia="宋体" w:cs="Arial"/>
                <w:kern w:val="0"/>
                <w:sz w:val="18"/>
                <w:szCs w:val="18"/>
              </w:rPr>
            </w:pPr>
          </w:p>
        </w:tc>
        <w:tc>
          <w:tcPr>
            <w:tcW w:w="619" w:type="dxa"/>
            <w:shd w:val="clear" w:color="auto" w:fill="auto"/>
            <w:vAlign w:val="center"/>
          </w:tcPr>
          <w:p>
            <w:pPr>
              <w:widowControl/>
              <w:jc w:val="center"/>
              <w:rPr>
                <w:rFonts w:ascii="宋体" w:hAnsi="宋体" w:eastAsia="宋体" w:cs="宋体"/>
                <w:kern w:val="0"/>
                <w:sz w:val="18"/>
                <w:szCs w:val="18"/>
              </w:rPr>
            </w:pPr>
          </w:p>
        </w:tc>
        <w:tc>
          <w:tcPr>
            <w:tcW w:w="618" w:type="dxa"/>
            <w:shd w:val="clear" w:color="auto" w:fill="auto"/>
            <w:vAlign w:val="center"/>
          </w:tcPr>
          <w:p>
            <w:pPr>
              <w:widowControl/>
              <w:jc w:val="center"/>
              <w:rPr>
                <w:rFonts w:ascii="Arial" w:hAnsi="Arial" w:eastAsia="宋体" w:cs="Arial"/>
                <w:kern w:val="0"/>
                <w:sz w:val="18"/>
                <w:szCs w:val="18"/>
              </w:rPr>
            </w:pPr>
          </w:p>
        </w:tc>
        <w:tc>
          <w:tcPr>
            <w:tcW w:w="619" w:type="dxa"/>
            <w:shd w:val="clear" w:color="auto" w:fill="auto"/>
            <w:vAlign w:val="center"/>
          </w:tcPr>
          <w:p>
            <w:pPr>
              <w:widowControl/>
              <w:jc w:val="center"/>
              <w:rPr>
                <w:rFonts w:ascii="宋体" w:hAnsi="宋体" w:eastAsia="宋体" w:cs="宋体"/>
                <w:kern w:val="0"/>
                <w:sz w:val="18"/>
                <w:szCs w:val="18"/>
              </w:rPr>
            </w:pPr>
          </w:p>
        </w:tc>
        <w:tc>
          <w:tcPr>
            <w:tcW w:w="618" w:type="dxa"/>
            <w:shd w:val="clear" w:color="auto" w:fill="auto"/>
            <w:vAlign w:val="center"/>
          </w:tcPr>
          <w:p>
            <w:pPr>
              <w:widowControl/>
              <w:jc w:val="center"/>
              <w:rPr>
                <w:rFonts w:ascii="Arial" w:hAnsi="Arial" w:eastAsia="宋体" w:cs="Arial"/>
                <w:kern w:val="0"/>
                <w:sz w:val="18"/>
                <w:szCs w:val="18"/>
              </w:rPr>
            </w:pPr>
          </w:p>
        </w:tc>
        <w:tc>
          <w:tcPr>
            <w:tcW w:w="619" w:type="dxa"/>
          </w:tcPr>
          <w:p>
            <w:pPr>
              <w:widowControl/>
              <w:jc w:val="center"/>
              <w:rPr>
                <w:rFonts w:ascii="Arial" w:hAnsi="Arial" w:eastAsia="宋体" w:cs="Arial"/>
                <w:kern w:val="0"/>
                <w:sz w:val="18"/>
                <w:szCs w:val="18"/>
              </w:rPr>
            </w:pPr>
          </w:p>
        </w:tc>
      </w:tr>
    </w:tbl>
    <w:p/>
    <w:sectPr>
      <w:pgSz w:w="16838" w:h="11906" w:orient="landscape"/>
      <w:pgMar w:top="1304" w:right="851" w:bottom="1021"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641C"/>
    <w:rsid w:val="0004607D"/>
    <w:rsid w:val="00065868"/>
    <w:rsid w:val="001B6B67"/>
    <w:rsid w:val="001D2F6C"/>
    <w:rsid w:val="002C48A1"/>
    <w:rsid w:val="003B37A1"/>
    <w:rsid w:val="003C2011"/>
    <w:rsid w:val="0040249E"/>
    <w:rsid w:val="00423C92"/>
    <w:rsid w:val="00524954"/>
    <w:rsid w:val="00574D12"/>
    <w:rsid w:val="00693C10"/>
    <w:rsid w:val="00720FDD"/>
    <w:rsid w:val="007A7AC3"/>
    <w:rsid w:val="008805FF"/>
    <w:rsid w:val="008C7243"/>
    <w:rsid w:val="008E65A7"/>
    <w:rsid w:val="009101A9"/>
    <w:rsid w:val="00921948"/>
    <w:rsid w:val="00A23A6A"/>
    <w:rsid w:val="00A34248"/>
    <w:rsid w:val="00A64C3D"/>
    <w:rsid w:val="00A7641C"/>
    <w:rsid w:val="00AE48CA"/>
    <w:rsid w:val="00BB5E68"/>
    <w:rsid w:val="00CD0EFE"/>
    <w:rsid w:val="00CF5417"/>
    <w:rsid w:val="00DC22FD"/>
    <w:rsid w:val="00DC7DB7"/>
    <w:rsid w:val="00DF0E58"/>
    <w:rsid w:val="00E24FB8"/>
    <w:rsid w:val="00E42A6E"/>
    <w:rsid w:val="00F02AE6"/>
    <w:rsid w:val="00F520BD"/>
    <w:rsid w:val="00F919A6"/>
    <w:rsid w:val="00FD16D6"/>
    <w:rsid w:val="163C3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17"/>
    <w:semiHidden/>
    <w:unhideWhenUsed/>
    <w:uiPriority w:val="99"/>
    <w:pPr>
      <w:tabs>
        <w:tab w:val="center" w:pos="4153"/>
        <w:tab w:val="right" w:pos="8306"/>
      </w:tabs>
      <w:snapToGrid w:val="0"/>
      <w:jc w:val="left"/>
    </w:pPr>
    <w:rPr>
      <w:sz w:val="18"/>
      <w:szCs w:val="18"/>
    </w:rPr>
  </w:style>
  <w:style w:type="paragraph" w:styleId="4">
    <w:name w:val="header"/>
    <w:basedOn w:val="1"/>
    <w:link w:val="16"/>
    <w:semiHidden/>
    <w:unhideWhenUsed/>
    <w:uiPriority w:val="99"/>
    <w:pPr>
      <w:pBdr>
        <w:bottom w:val="single" w:color="auto" w:sz="6" w:space="1"/>
      </w:pBdr>
      <w:tabs>
        <w:tab w:val="center" w:pos="4153"/>
        <w:tab w:val="right" w:pos="8306"/>
      </w:tabs>
      <w:snapToGrid w:val="0"/>
      <w:jc w:val="center"/>
    </w:pPr>
    <w:rPr>
      <w:sz w:val="18"/>
      <w:szCs w:val="18"/>
    </w:rPr>
  </w:style>
  <w:style w:type="character" w:styleId="7">
    <w:name w:val="FollowedHyperlink"/>
    <w:basedOn w:val="6"/>
    <w:semiHidden/>
    <w:unhideWhenUsed/>
    <w:uiPriority w:val="99"/>
    <w:rPr>
      <w:color w:val="954F72"/>
      <w:u w:val="single"/>
    </w:rPr>
  </w:style>
  <w:style w:type="character" w:styleId="8">
    <w:name w:val="Hyperlink"/>
    <w:basedOn w:val="6"/>
    <w:semiHidden/>
    <w:unhideWhenUsed/>
    <w:uiPriority w:val="99"/>
    <w:rPr>
      <w:color w:val="0563C1"/>
      <w:u w:val="single"/>
    </w:rPr>
  </w:style>
  <w:style w:type="paragraph" w:customStyle="1" w:styleId="9">
    <w:name w:val="font5"/>
    <w:basedOn w:val="1"/>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0">
    <w:name w:val="font6"/>
    <w:basedOn w:val="1"/>
    <w:uiPriority w:val="0"/>
    <w:pPr>
      <w:widowControl/>
      <w:spacing w:before="100" w:beforeAutospacing="1" w:after="100" w:afterAutospacing="1"/>
      <w:jc w:val="left"/>
    </w:pPr>
    <w:rPr>
      <w:rFonts w:ascii="宋体" w:hAnsi="宋体" w:eastAsia="宋体" w:cs="宋体"/>
      <w:kern w:val="0"/>
      <w:sz w:val="18"/>
      <w:szCs w:val="18"/>
      <w:u w:val="single"/>
    </w:rPr>
  </w:style>
  <w:style w:type="paragraph" w:customStyle="1" w:styleId="11">
    <w:name w:val="font7"/>
    <w:basedOn w:val="1"/>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2">
    <w:name w:val="xl6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3">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4">
    <w:name w:val="xl6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eastAsia="宋体" w:cs="Arial"/>
      <w:kern w:val="0"/>
      <w:sz w:val="18"/>
      <w:szCs w:val="18"/>
    </w:rPr>
  </w:style>
  <w:style w:type="paragraph" w:customStyle="1" w:styleId="15">
    <w:name w:val="xl68"/>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w:hAnsi="Arial" w:eastAsia="宋体" w:cs="Arial"/>
      <w:kern w:val="0"/>
      <w:sz w:val="18"/>
      <w:szCs w:val="18"/>
    </w:rPr>
  </w:style>
  <w:style w:type="character" w:customStyle="1" w:styleId="16">
    <w:name w:val="页眉 Char"/>
    <w:basedOn w:val="6"/>
    <w:link w:val="4"/>
    <w:semiHidden/>
    <w:uiPriority w:val="99"/>
    <w:rPr>
      <w:sz w:val="18"/>
      <w:szCs w:val="18"/>
    </w:rPr>
  </w:style>
  <w:style w:type="character" w:customStyle="1" w:styleId="17">
    <w:name w:val="页脚 Char"/>
    <w:basedOn w:val="6"/>
    <w:link w:val="3"/>
    <w:semiHidden/>
    <w:uiPriority w:val="99"/>
    <w:rPr>
      <w:sz w:val="18"/>
      <w:szCs w:val="18"/>
    </w:rPr>
  </w:style>
  <w:style w:type="paragraph" w:styleId="18">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9">
    <w:name w:val="标题 1 Char"/>
    <w:basedOn w:val="6"/>
    <w:link w:val="2"/>
    <w:uiPriority w:val="9"/>
    <w:rPr>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309</Pages>
  <Words>43070</Words>
  <Characters>245502</Characters>
  <Lines>2045</Lines>
  <Paragraphs>575</Paragraphs>
  <TotalTime>2</TotalTime>
  <ScaleCrop>false</ScaleCrop>
  <LinksUpToDate>false</LinksUpToDate>
  <CharactersWithSpaces>287997</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2020-10-26T01:34:00Z</dcterms:created>
  <dc:creator>朱少玲</dc:creator>
  <cp:lastModifiedBy>Fuishi</cp:lastModifiedBy>
  <dcterms:modified xsi:type="dcterms:W3CDTF">2020-11-22T08:14:00Z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