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18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0A8837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322FE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台山市2025年农作物秸秆综合利用项目</w:t>
      </w:r>
    </w:p>
    <w:p w14:paraId="5C090B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实施主体遴选评分表</w:t>
      </w:r>
    </w:p>
    <w:bookmarkEnd w:id="0"/>
    <w:p w14:paraId="625768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申报单位：                                 评审时间：  年  月  日</w:t>
      </w:r>
    </w:p>
    <w:tbl>
      <w:tblPr>
        <w:tblStyle w:val="3"/>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82"/>
        <w:gridCol w:w="1181"/>
        <w:gridCol w:w="6269"/>
        <w:gridCol w:w="896"/>
      </w:tblGrid>
      <w:tr w14:paraId="5874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0374E231">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452" w:type="pct"/>
            <w:vAlign w:val="center"/>
          </w:tcPr>
          <w:p w14:paraId="539097B9">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评审项目</w:t>
            </w:r>
          </w:p>
        </w:tc>
        <w:tc>
          <w:tcPr>
            <w:tcW w:w="605" w:type="pct"/>
            <w:vAlign w:val="center"/>
          </w:tcPr>
          <w:p w14:paraId="6C8725B2">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3210" w:type="pct"/>
            <w:vAlign w:val="center"/>
          </w:tcPr>
          <w:p w14:paraId="329505C9">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评审内容</w:t>
            </w:r>
          </w:p>
        </w:tc>
        <w:tc>
          <w:tcPr>
            <w:tcW w:w="459" w:type="pct"/>
            <w:vAlign w:val="center"/>
          </w:tcPr>
          <w:p w14:paraId="29BD0814">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w:t>
            </w:r>
          </w:p>
        </w:tc>
      </w:tr>
      <w:tr w14:paraId="692F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272" w:type="pct"/>
            <w:vAlign w:val="center"/>
          </w:tcPr>
          <w:p w14:paraId="665BEF99">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452" w:type="pct"/>
            <w:vAlign w:val="center"/>
          </w:tcPr>
          <w:p w14:paraId="1BDC46AB">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资质情况</w:t>
            </w:r>
          </w:p>
        </w:tc>
        <w:tc>
          <w:tcPr>
            <w:tcW w:w="605" w:type="pct"/>
            <w:vAlign w:val="center"/>
          </w:tcPr>
          <w:p w14:paraId="69E6961B">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一票否决项</w:t>
            </w:r>
          </w:p>
        </w:tc>
        <w:tc>
          <w:tcPr>
            <w:tcW w:w="3210" w:type="pct"/>
            <w:vAlign w:val="center"/>
          </w:tcPr>
          <w:p w14:paraId="5E3BFF21">
            <w:pPr>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不符合《政府采购法》第二十二条之规定。</w:t>
            </w:r>
          </w:p>
          <w:p w14:paraId="3B324785">
            <w:pPr>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2.近三年受到相关行政处罚。</w:t>
            </w:r>
          </w:p>
          <w:p w14:paraId="0DFDDF13">
            <w:pPr>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3.提交虚假的申报材料。</w:t>
            </w:r>
          </w:p>
          <w:p w14:paraId="4432A0EE">
            <w:pPr>
              <w:spacing w:line="36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4.企业联合申报。</w:t>
            </w:r>
          </w:p>
        </w:tc>
        <w:tc>
          <w:tcPr>
            <w:tcW w:w="459" w:type="pct"/>
            <w:vAlign w:val="center"/>
          </w:tcPr>
          <w:p w14:paraId="3192D7F9">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w:t>
            </w:r>
          </w:p>
          <w:p w14:paraId="5C82BA12">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否□</w:t>
            </w:r>
          </w:p>
          <w:p w14:paraId="331F7A21">
            <w:pPr>
              <w:spacing w:line="360" w:lineRule="exact"/>
              <w:jc w:val="center"/>
              <w:rPr>
                <w:rFonts w:hint="eastAsia" w:ascii="仿宋_GB2312" w:hAnsi="仿宋_GB2312" w:eastAsia="仿宋_GB2312" w:cs="仿宋_GB2312"/>
                <w:kern w:val="0"/>
                <w:sz w:val="28"/>
                <w:szCs w:val="28"/>
              </w:rPr>
            </w:pPr>
          </w:p>
        </w:tc>
      </w:tr>
      <w:tr w14:paraId="5A5D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272" w:type="pct"/>
            <w:vAlign w:val="center"/>
          </w:tcPr>
          <w:p w14:paraId="29ADADDF">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452" w:type="pct"/>
            <w:vAlign w:val="center"/>
          </w:tcPr>
          <w:p w14:paraId="6D6CA8B8">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主体基本情况</w:t>
            </w:r>
          </w:p>
        </w:tc>
        <w:tc>
          <w:tcPr>
            <w:tcW w:w="605" w:type="pct"/>
            <w:vAlign w:val="center"/>
          </w:tcPr>
          <w:p w14:paraId="074D1C17">
            <w:pPr>
              <w:spacing w:line="36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3210" w:type="pct"/>
            <w:vAlign w:val="center"/>
          </w:tcPr>
          <w:p w14:paraId="557BBB34">
            <w:pPr>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1.主体生产经营状况稳定，具有独立、健全的财务管理</w:t>
            </w:r>
            <w:r>
              <w:rPr>
                <w:rFonts w:hint="eastAsia" w:ascii="仿宋_GB2312" w:hAnsi="仿宋_GB2312" w:eastAsia="仿宋_GB2312" w:cs="仿宋_GB2312"/>
                <w:kern w:val="0"/>
                <w:sz w:val="28"/>
                <w:szCs w:val="28"/>
                <w:lang w:eastAsia="zh-CN"/>
              </w:rPr>
              <w:t>制度，</w:t>
            </w:r>
            <w:r>
              <w:rPr>
                <w:rFonts w:hint="eastAsia" w:ascii="仿宋_GB2312" w:hAnsi="仿宋_GB2312" w:eastAsia="仿宋_GB2312" w:cs="仿宋_GB2312"/>
                <w:kern w:val="0"/>
                <w:sz w:val="28"/>
                <w:szCs w:val="28"/>
              </w:rPr>
              <w:t>提供</w:t>
            </w:r>
            <w:r>
              <w:rPr>
                <w:rFonts w:hint="eastAsia" w:ascii="仿宋_GB2312" w:hAnsi="仿宋_GB2312" w:eastAsia="仿宋_GB2312" w:cs="仿宋_GB2312"/>
                <w:kern w:val="0"/>
                <w:sz w:val="28"/>
                <w:szCs w:val="28"/>
                <w:lang w:eastAsia="zh-CN"/>
              </w:rPr>
              <w:t>近两年财务报表得</w:t>
            </w:r>
            <w:r>
              <w:rPr>
                <w:rFonts w:hint="eastAsia" w:ascii="仿宋_GB2312" w:hAnsi="仿宋_GB2312" w:eastAsia="仿宋_GB2312" w:cs="仿宋_GB2312"/>
                <w:kern w:val="0"/>
                <w:sz w:val="28"/>
                <w:szCs w:val="28"/>
                <w:lang w:val="en-US" w:eastAsia="zh-CN"/>
              </w:rPr>
              <w:t>5分</w:t>
            </w:r>
            <w:r>
              <w:rPr>
                <w:rFonts w:hint="eastAsia" w:ascii="仿宋_GB2312" w:hAnsi="仿宋_GB2312" w:eastAsia="仿宋_GB2312" w:cs="仿宋_GB2312"/>
                <w:kern w:val="0"/>
                <w:sz w:val="28"/>
                <w:szCs w:val="28"/>
                <w:lang w:eastAsia="zh-CN"/>
              </w:rPr>
              <w:t>。</w:t>
            </w:r>
          </w:p>
          <w:p w14:paraId="63A76C13">
            <w:pPr>
              <w:spacing w:line="360" w:lineRule="exact"/>
              <w:rPr>
                <w:rFonts w:hint="eastAsia"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rPr>
              <w:t>2.有分工明确的管理人员，提供</w:t>
            </w:r>
            <w:r>
              <w:rPr>
                <w:rFonts w:hint="eastAsia" w:ascii="仿宋_GB2312" w:hAnsi="仿宋_GB2312" w:eastAsia="仿宋_GB2312" w:cs="仿宋_GB2312"/>
                <w:kern w:val="0"/>
                <w:sz w:val="28"/>
                <w:szCs w:val="28"/>
                <w:lang w:eastAsia="zh-CN"/>
              </w:rPr>
              <w:t>开展秸秆综合利用项目</w:t>
            </w:r>
            <w:r>
              <w:rPr>
                <w:rFonts w:hint="eastAsia" w:ascii="仿宋_GB2312" w:hAnsi="仿宋_GB2312" w:eastAsia="仿宋_GB2312" w:cs="仿宋_GB2312"/>
                <w:kern w:val="0"/>
                <w:sz w:val="28"/>
                <w:szCs w:val="28"/>
              </w:rPr>
              <w:t>人员架构名单</w:t>
            </w:r>
            <w:r>
              <w:rPr>
                <w:rFonts w:hint="eastAsia" w:ascii="仿宋_GB2312" w:hAnsi="仿宋_GB2312" w:eastAsia="仿宋_GB2312" w:cs="仿宋_GB2312"/>
                <w:kern w:val="0"/>
                <w:sz w:val="28"/>
                <w:szCs w:val="28"/>
                <w:lang w:val="en-US" w:eastAsia="zh-CN"/>
              </w:rPr>
              <w:t>及近一年社保缴纳记录，达3人以上得5分。</w:t>
            </w:r>
          </w:p>
          <w:p w14:paraId="1F501B63">
            <w:pPr>
              <w:spacing w:line="36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在台山市辖区内有固定经营场所，且在台山市开展业务经营5年以上得5分，在台山市开展业务经营2-4年得3分，在台山市开展业务经营不足2年得1分。</w:t>
            </w:r>
          </w:p>
        </w:tc>
        <w:tc>
          <w:tcPr>
            <w:tcW w:w="459" w:type="pct"/>
            <w:vAlign w:val="center"/>
          </w:tcPr>
          <w:p w14:paraId="1D78380D">
            <w:pPr>
              <w:spacing w:line="360" w:lineRule="exact"/>
              <w:jc w:val="center"/>
              <w:rPr>
                <w:rFonts w:hint="eastAsia" w:ascii="仿宋_GB2312" w:hAnsi="仿宋_GB2312" w:eastAsia="仿宋_GB2312" w:cs="仿宋_GB2312"/>
                <w:kern w:val="0"/>
                <w:sz w:val="28"/>
                <w:szCs w:val="28"/>
              </w:rPr>
            </w:pPr>
          </w:p>
        </w:tc>
      </w:tr>
      <w:tr w14:paraId="15EC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72" w:type="pct"/>
            <w:vAlign w:val="center"/>
          </w:tcPr>
          <w:p w14:paraId="028E788A">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452" w:type="pct"/>
            <w:vAlign w:val="center"/>
          </w:tcPr>
          <w:p w14:paraId="211CAA5B">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秸秆收储利用条件</w:t>
            </w:r>
          </w:p>
        </w:tc>
        <w:tc>
          <w:tcPr>
            <w:tcW w:w="605" w:type="pct"/>
            <w:vAlign w:val="center"/>
          </w:tcPr>
          <w:p w14:paraId="3192981B">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40</w:t>
            </w:r>
          </w:p>
        </w:tc>
        <w:tc>
          <w:tcPr>
            <w:tcW w:w="3210" w:type="pct"/>
            <w:vAlign w:val="center"/>
          </w:tcPr>
          <w:p w14:paraId="2F5E6DFB">
            <w:pPr>
              <w:spacing w:line="36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在台山市辖区内具有可建设秸秆饲料化加工基地的建设用地或设施农业用地少于1000平方米不得分，超过1000平方米（含1000平方米）得10分（土地租赁的期限不得少于10年），每多100平方米（不足100平方米按照100平方米计）增加1分，此项最高得15分。</w:t>
            </w:r>
          </w:p>
          <w:p w14:paraId="2F2208DE">
            <w:pPr>
              <w:spacing w:line="36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2.自有或租赁秸秆运输货车、叉车、秸秆打包机、秸秆粉碎机等秸秆收储运加工设备，每一辆（台、套）得3分，此项最高得15分。</w:t>
            </w:r>
            <w:r>
              <w:rPr>
                <w:rFonts w:hint="eastAsia" w:ascii="仿宋_GB2312" w:hAnsi="仿宋_GB2312" w:eastAsia="仿宋_GB2312" w:cs="仿宋_GB2312"/>
                <w:kern w:val="0"/>
                <w:sz w:val="28"/>
                <w:szCs w:val="28"/>
                <w:lang w:val="en-US" w:eastAsia="zh-CN"/>
              </w:rPr>
              <w:br w:type="textWrapping"/>
            </w:r>
            <w:r>
              <w:rPr>
                <w:rFonts w:hint="eastAsia" w:ascii="仿宋_GB2312" w:hAnsi="仿宋_GB2312" w:eastAsia="仿宋_GB2312" w:cs="仿宋_GB2312"/>
                <w:kern w:val="0"/>
                <w:sz w:val="28"/>
                <w:szCs w:val="28"/>
                <w:lang w:val="en-US" w:eastAsia="zh-CN"/>
              </w:rPr>
              <w:t>3.与农户、合作社、家庭农场等生产主体达成合作，开展社会化服务，以合作协议为依据，拥有服务面积达100亩以上的生产主体1个可得1分，最高可得10分。</w:t>
            </w:r>
          </w:p>
        </w:tc>
        <w:tc>
          <w:tcPr>
            <w:tcW w:w="459" w:type="pct"/>
            <w:vAlign w:val="center"/>
          </w:tcPr>
          <w:p w14:paraId="2424C5A7">
            <w:pPr>
              <w:spacing w:line="360" w:lineRule="exact"/>
              <w:jc w:val="center"/>
              <w:rPr>
                <w:rFonts w:hint="eastAsia" w:ascii="仿宋_GB2312" w:hAnsi="仿宋_GB2312" w:eastAsia="仿宋_GB2312" w:cs="仿宋_GB2312"/>
                <w:kern w:val="0"/>
                <w:sz w:val="28"/>
                <w:szCs w:val="28"/>
              </w:rPr>
            </w:pPr>
          </w:p>
        </w:tc>
      </w:tr>
      <w:tr w14:paraId="3FB6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272" w:type="pct"/>
            <w:vAlign w:val="center"/>
          </w:tcPr>
          <w:p w14:paraId="30CAF4B4">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452" w:type="pct"/>
            <w:vAlign w:val="center"/>
          </w:tcPr>
          <w:p w14:paraId="607775A7">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秸秆综合利用实施方案编制</w:t>
            </w:r>
          </w:p>
        </w:tc>
        <w:tc>
          <w:tcPr>
            <w:tcW w:w="605" w:type="pct"/>
            <w:vAlign w:val="center"/>
          </w:tcPr>
          <w:p w14:paraId="02058E8D">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3210" w:type="pct"/>
            <w:vAlign w:val="center"/>
          </w:tcPr>
          <w:p w14:paraId="570030BE">
            <w:pPr>
              <w:spacing w:line="360" w:lineRule="exac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提供合理的农作物秸秆综合利用项目实施方案，包括项目的总体实施方案、企业概况、项目建设规划、质量安全保障措施、进度安排、费用预算、预估项目建成后经济效益、社会效益、生态效益等： </w:t>
            </w:r>
          </w:p>
          <w:p w14:paraId="7567D192">
            <w:pPr>
              <w:spacing w:line="360" w:lineRule="exac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1.实施方案详细、完整，针对性及可行性强的，得20分； </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2.实施方案较详细、较完整，针对性及可行性较强的，得13分；</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 xml:space="preserve">3.实施方案简单，针对性及可行性一般的，得7分； </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4.不提供不得分。</w:t>
            </w:r>
          </w:p>
        </w:tc>
        <w:tc>
          <w:tcPr>
            <w:tcW w:w="459" w:type="pct"/>
            <w:vAlign w:val="center"/>
          </w:tcPr>
          <w:p w14:paraId="19392302">
            <w:pPr>
              <w:spacing w:line="360" w:lineRule="exact"/>
              <w:jc w:val="center"/>
              <w:rPr>
                <w:rFonts w:hint="eastAsia" w:ascii="仿宋_GB2312" w:hAnsi="仿宋_GB2312" w:eastAsia="仿宋_GB2312" w:cs="仿宋_GB2312"/>
                <w:kern w:val="0"/>
                <w:sz w:val="28"/>
                <w:szCs w:val="28"/>
              </w:rPr>
            </w:pPr>
          </w:p>
        </w:tc>
      </w:tr>
      <w:tr w14:paraId="6856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272" w:type="pct"/>
            <w:vAlign w:val="center"/>
          </w:tcPr>
          <w:p w14:paraId="4A8D14CA">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452" w:type="pct"/>
            <w:vAlign w:val="center"/>
          </w:tcPr>
          <w:p w14:paraId="01D6AE4B">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资金使用安排</w:t>
            </w:r>
          </w:p>
        </w:tc>
        <w:tc>
          <w:tcPr>
            <w:tcW w:w="605" w:type="pct"/>
            <w:vAlign w:val="center"/>
          </w:tcPr>
          <w:p w14:paraId="43FC7FB1">
            <w:pPr>
              <w:spacing w:line="36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c>
          <w:tcPr>
            <w:tcW w:w="3210" w:type="pct"/>
            <w:vAlign w:val="center"/>
          </w:tcPr>
          <w:p w14:paraId="625F3DD0">
            <w:pPr>
              <w:spacing w:line="360" w:lineRule="exac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提供的资金预算用途符合遴选通知要求的资金使用规定范围，资金预算细化、合理（10分）。</w:t>
            </w:r>
          </w:p>
        </w:tc>
        <w:tc>
          <w:tcPr>
            <w:tcW w:w="459" w:type="pct"/>
            <w:vAlign w:val="center"/>
          </w:tcPr>
          <w:p w14:paraId="6BD463B8">
            <w:pPr>
              <w:spacing w:line="360" w:lineRule="exact"/>
              <w:jc w:val="center"/>
              <w:rPr>
                <w:rFonts w:hint="eastAsia" w:ascii="仿宋_GB2312" w:hAnsi="仿宋_GB2312" w:eastAsia="仿宋_GB2312" w:cs="仿宋_GB2312"/>
                <w:kern w:val="0"/>
                <w:sz w:val="28"/>
                <w:szCs w:val="28"/>
              </w:rPr>
            </w:pPr>
          </w:p>
        </w:tc>
      </w:tr>
      <w:tr w14:paraId="5DA7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72" w:type="pct"/>
            <w:vAlign w:val="center"/>
          </w:tcPr>
          <w:p w14:paraId="0C8C3AD7">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452" w:type="pct"/>
            <w:vAlign w:val="center"/>
          </w:tcPr>
          <w:p w14:paraId="6895FF49">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主体荣誉</w:t>
            </w:r>
          </w:p>
        </w:tc>
        <w:tc>
          <w:tcPr>
            <w:tcW w:w="605" w:type="pct"/>
            <w:vAlign w:val="center"/>
          </w:tcPr>
          <w:p w14:paraId="47A6AEB5">
            <w:pPr>
              <w:spacing w:line="3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3210" w:type="pct"/>
            <w:vAlign w:val="center"/>
          </w:tcPr>
          <w:p w14:paraId="11120B27">
            <w:pPr>
              <w:spacing w:line="36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获得国家级荣誉的得10分，获得省级荣誉的得6分，获得市县级荣誉的得3分。</w:t>
            </w:r>
            <w:r>
              <w:rPr>
                <w:rFonts w:hint="eastAsia" w:ascii="仿宋_GB2312" w:hAnsi="仿宋_GB2312" w:eastAsia="仿宋_GB2312" w:cs="仿宋_GB2312"/>
                <w:kern w:val="0"/>
                <w:sz w:val="28"/>
                <w:szCs w:val="28"/>
                <w:highlight w:val="none"/>
                <w:lang w:val="en-US" w:eastAsia="zh-CN"/>
              </w:rPr>
              <w:t>相同性质的荣誉，以最高级计算，不得累加，</w:t>
            </w:r>
            <w:r>
              <w:rPr>
                <w:rFonts w:hint="eastAsia" w:ascii="仿宋_GB2312" w:hAnsi="仿宋_GB2312" w:eastAsia="仿宋_GB2312" w:cs="仿宋_GB2312"/>
                <w:kern w:val="0"/>
                <w:sz w:val="28"/>
                <w:szCs w:val="28"/>
                <w:lang w:val="en-US" w:eastAsia="zh-CN"/>
              </w:rPr>
              <w:t>此项最高可得15分。</w:t>
            </w:r>
          </w:p>
        </w:tc>
        <w:tc>
          <w:tcPr>
            <w:tcW w:w="459" w:type="pct"/>
            <w:vAlign w:val="center"/>
          </w:tcPr>
          <w:p w14:paraId="16EF4B24">
            <w:pPr>
              <w:spacing w:line="360" w:lineRule="exact"/>
              <w:jc w:val="center"/>
              <w:rPr>
                <w:rFonts w:hint="eastAsia" w:ascii="仿宋_GB2312" w:hAnsi="仿宋_GB2312" w:eastAsia="仿宋_GB2312" w:cs="仿宋_GB2312"/>
                <w:kern w:val="0"/>
                <w:sz w:val="28"/>
                <w:szCs w:val="28"/>
              </w:rPr>
            </w:pPr>
          </w:p>
        </w:tc>
      </w:tr>
      <w:tr w14:paraId="5E29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540" w:type="pct"/>
            <w:gridSpan w:val="4"/>
            <w:vAlign w:val="center"/>
          </w:tcPr>
          <w:p w14:paraId="6663B9E5">
            <w:pPr>
              <w:spacing w:line="36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综合得分</w:t>
            </w:r>
          </w:p>
        </w:tc>
        <w:tc>
          <w:tcPr>
            <w:tcW w:w="459" w:type="pct"/>
            <w:vAlign w:val="center"/>
          </w:tcPr>
          <w:p w14:paraId="3EB53E0D">
            <w:pPr>
              <w:spacing w:line="360" w:lineRule="exact"/>
              <w:jc w:val="center"/>
              <w:rPr>
                <w:rFonts w:hint="eastAsia" w:ascii="仿宋_GB2312" w:hAnsi="仿宋_GB2312" w:eastAsia="仿宋_GB2312" w:cs="仿宋_GB2312"/>
                <w:kern w:val="0"/>
                <w:sz w:val="28"/>
                <w:szCs w:val="28"/>
              </w:rPr>
            </w:pPr>
          </w:p>
        </w:tc>
      </w:tr>
    </w:tbl>
    <w:p w14:paraId="7803E681">
      <w:pPr>
        <w:rPr>
          <w:rFonts w:hint="default" w:eastAsiaTheme="minorEastAsia"/>
          <w:lang w:val="en-US" w:eastAsia="zh-CN"/>
        </w:rPr>
      </w:pPr>
      <w:r>
        <w:rPr>
          <w:rFonts w:hint="eastAsia"/>
          <w:lang w:val="en-US" w:eastAsia="zh-CN"/>
        </w:rPr>
        <w:t>评审专家签字：                                                         年    月    日</w:t>
      </w:r>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B1BD3"/>
    <w:rsid w:val="39FB1BD3"/>
    <w:rsid w:val="6B7A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2025-08-01T09:55:00Z</dcterms:created>
  <dc:creator>哈、6</dc:creator>
  <cp:lastModifiedBy>哈、6</cp:lastModifiedBy>
  <dcterms:modified xsi:type="dcterms:W3CDTF">2025-08-01T09:58:28Z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5C7616E12108412496E031977F7F5F72_11</vt:lpwstr>
  </property>
  <property fmtid="{D5CDD505-2E9C-101B-9397-08002B2CF9AE}" pid="4" name="KSOTemplateDocerSaveRecord">
    <vt:lpwstr>eyJoZGlkIjoiYjEyZjdhODY1ZjMzOTZlZGM3NTIyODY4MzAzZGE0YzYiLCJ1c2VySWQiOiI3NTE2MDE2MDgifQ==</vt:lpwstr>
  </property>
</Properties>
</file>