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244D8E">
      <w:pPr>
        <w:jc w:val="both"/>
        <w:rPr>
          <w:rFonts w:hint="default" w:ascii="黑体" w:hAnsi="黑体" w:eastAsia="黑体" w:cs="宋体"/>
          <w:kern w:val="0"/>
          <w:sz w:val="32"/>
          <w:szCs w:val="32"/>
          <w:lang w:val="en-US" w:eastAsia="zh-CN"/>
        </w:rPr>
      </w:pPr>
      <w:r>
        <w:rPr>
          <w:rFonts w:hint="eastAsia" w:ascii="黑体" w:hAnsi="黑体" w:eastAsia="黑体" w:cs="宋体"/>
          <w:kern w:val="0"/>
          <w:sz w:val="32"/>
          <w:szCs w:val="32"/>
          <w:lang w:eastAsia="zh-CN"/>
        </w:rPr>
        <w:t>附件</w:t>
      </w:r>
      <w:r>
        <w:rPr>
          <w:rFonts w:hint="eastAsia" w:ascii="黑体" w:hAnsi="黑体" w:eastAsia="黑体" w:cs="宋体"/>
          <w:kern w:val="0"/>
          <w:sz w:val="32"/>
          <w:szCs w:val="32"/>
          <w:lang w:val="en-US" w:eastAsia="zh-CN"/>
        </w:rPr>
        <w:t>3</w:t>
      </w:r>
    </w:p>
    <w:p w14:paraId="30D015EE">
      <w:pPr>
        <w:jc w:val="center"/>
        <w:rPr>
          <w:rFonts w:hint="eastAsia" w:ascii="黑体" w:hAnsi="黑体" w:eastAsia="黑体" w:cs="宋体"/>
          <w:kern w:val="0"/>
          <w:sz w:val="44"/>
          <w:szCs w:val="44"/>
        </w:rPr>
      </w:pPr>
      <w:r>
        <w:rPr>
          <w:rFonts w:hint="eastAsia" w:ascii="黑体" w:hAnsi="黑体" w:eastAsia="黑体" w:cs="宋体"/>
          <w:kern w:val="0"/>
          <w:sz w:val="44"/>
          <w:szCs w:val="44"/>
        </w:rPr>
        <w:t>综合评分表</w:t>
      </w:r>
    </w:p>
    <w:tbl>
      <w:tblPr>
        <w:tblStyle w:val="3"/>
        <w:tblpPr w:leftFromText="180" w:rightFromText="180" w:vertAnchor="text" w:horzAnchor="page" w:tblpX="1231" w:tblpY="624"/>
        <w:tblOverlap w:val="never"/>
        <w:tblW w:w="92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0"/>
        <w:gridCol w:w="1184"/>
        <w:gridCol w:w="780"/>
        <w:gridCol w:w="5142"/>
        <w:gridCol w:w="671"/>
      </w:tblGrid>
      <w:tr w14:paraId="7A4F4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blHeader/>
        </w:trPr>
        <w:tc>
          <w:tcPr>
            <w:tcW w:w="1480" w:type="dxa"/>
            <w:shd w:val="clear" w:color="000000" w:fill="FFFFFF"/>
            <w:vAlign w:val="center"/>
          </w:tcPr>
          <w:p w14:paraId="3048DD58">
            <w:pPr>
              <w:keepNext w:val="0"/>
              <w:keepLines w:val="0"/>
              <w:suppressLineNumbers w:val="0"/>
              <w:spacing w:before="0" w:beforeAutospacing="0" w:after="0" w:afterAutospacing="0" w:line="300" w:lineRule="exact"/>
              <w:ind w:left="0" w:right="0"/>
              <w:jc w:val="center"/>
              <w:rPr>
                <w:rFonts w:hint="eastAsia" w:ascii="楷体_GB2312" w:hAnsi="宋体" w:eastAsia="楷体_GB2312" w:cs="宋体"/>
                <w:b/>
                <w:bCs/>
                <w:kern w:val="0"/>
                <w:sz w:val="20"/>
                <w:szCs w:val="20"/>
                <w:lang w:eastAsia="zh-CN"/>
              </w:rPr>
            </w:pPr>
            <w:r>
              <w:rPr>
                <w:rFonts w:hint="eastAsia" w:ascii="楷体_GB2312" w:hAnsi="宋体" w:eastAsia="楷体_GB2312" w:cs="宋体"/>
                <w:b/>
                <w:bCs/>
                <w:kern w:val="0"/>
                <w:sz w:val="20"/>
                <w:szCs w:val="20"/>
                <w:lang w:eastAsia="zh-CN"/>
              </w:rPr>
              <w:t>供应商</w:t>
            </w:r>
          </w:p>
        </w:tc>
        <w:tc>
          <w:tcPr>
            <w:tcW w:w="7777" w:type="dxa"/>
            <w:gridSpan w:val="4"/>
            <w:shd w:val="clear" w:color="000000" w:fill="FFFFFF"/>
            <w:vAlign w:val="center"/>
          </w:tcPr>
          <w:p w14:paraId="1D1E94AB">
            <w:pPr>
              <w:keepNext w:val="0"/>
              <w:keepLines w:val="0"/>
              <w:suppressLineNumbers w:val="0"/>
              <w:spacing w:before="0" w:beforeAutospacing="0" w:after="0" w:afterAutospacing="0"/>
              <w:ind w:left="0" w:right="0"/>
              <w:jc w:val="center"/>
              <w:rPr>
                <w:rFonts w:hint="default"/>
              </w:rPr>
            </w:pPr>
          </w:p>
        </w:tc>
      </w:tr>
      <w:tr w14:paraId="7DC36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blHeader/>
        </w:trPr>
        <w:tc>
          <w:tcPr>
            <w:tcW w:w="1480" w:type="dxa"/>
            <w:shd w:val="clear" w:color="000000" w:fill="FFFFFF"/>
            <w:vAlign w:val="center"/>
          </w:tcPr>
          <w:p w14:paraId="0E391575">
            <w:pPr>
              <w:keepNext w:val="0"/>
              <w:keepLines w:val="0"/>
              <w:suppressLineNumbers w:val="0"/>
              <w:spacing w:before="0" w:beforeAutospacing="0" w:after="0" w:afterAutospacing="0" w:line="300" w:lineRule="exact"/>
              <w:ind w:left="0" w:right="0"/>
              <w:jc w:val="center"/>
              <w:rPr>
                <w:rFonts w:hint="eastAsia" w:ascii="楷体_GB2312" w:hAnsi="宋体" w:eastAsia="楷体_GB2312" w:cs="宋体"/>
                <w:b/>
                <w:bCs/>
                <w:kern w:val="0"/>
                <w:sz w:val="20"/>
                <w:szCs w:val="20"/>
              </w:rPr>
            </w:pPr>
            <w:r>
              <w:rPr>
                <w:rFonts w:hint="eastAsia" w:ascii="楷体_GB2312" w:hAnsi="宋体" w:eastAsia="楷体_GB2312" w:cs="宋体"/>
                <w:b/>
                <w:bCs/>
                <w:kern w:val="0"/>
                <w:sz w:val="20"/>
                <w:szCs w:val="20"/>
              </w:rPr>
              <w:t>评分标准</w:t>
            </w:r>
          </w:p>
        </w:tc>
        <w:tc>
          <w:tcPr>
            <w:tcW w:w="1184" w:type="dxa"/>
            <w:shd w:val="clear" w:color="000000" w:fill="FFFFFF"/>
            <w:vAlign w:val="center"/>
          </w:tcPr>
          <w:p w14:paraId="49762D0A">
            <w:pPr>
              <w:keepNext w:val="0"/>
              <w:keepLines w:val="0"/>
              <w:suppressLineNumbers w:val="0"/>
              <w:spacing w:before="0" w:beforeAutospacing="0" w:after="0" w:afterAutospacing="0" w:line="300" w:lineRule="exact"/>
              <w:ind w:left="0" w:right="0"/>
              <w:jc w:val="center"/>
              <w:rPr>
                <w:rFonts w:hint="eastAsia" w:ascii="楷体_GB2312" w:hAnsi="宋体" w:eastAsia="楷体_GB2312" w:cs="宋体"/>
                <w:b/>
                <w:bCs/>
                <w:kern w:val="0"/>
                <w:sz w:val="20"/>
                <w:szCs w:val="20"/>
              </w:rPr>
            </w:pPr>
            <w:r>
              <w:rPr>
                <w:rFonts w:hint="eastAsia" w:ascii="楷体_GB2312" w:hAnsi="宋体" w:eastAsia="楷体_GB2312" w:cs="宋体"/>
                <w:b/>
                <w:bCs/>
                <w:kern w:val="0"/>
                <w:sz w:val="20"/>
                <w:szCs w:val="20"/>
              </w:rPr>
              <w:t>评分项</w:t>
            </w:r>
          </w:p>
        </w:tc>
        <w:tc>
          <w:tcPr>
            <w:tcW w:w="780" w:type="dxa"/>
            <w:shd w:val="clear" w:color="000000" w:fill="FFFFFF"/>
            <w:vAlign w:val="center"/>
          </w:tcPr>
          <w:p w14:paraId="4916AC93">
            <w:pPr>
              <w:keepNext w:val="0"/>
              <w:keepLines w:val="0"/>
              <w:suppressLineNumbers w:val="0"/>
              <w:spacing w:before="0" w:beforeAutospacing="0" w:after="0" w:afterAutospacing="0" w:line="300" w:lineRule="exact"/>
              <w:ind w:left="0" w:right="0"/>
              <w:jc w:val="center"/>
              <w:rPr>
                <w:rFonts w:hint="eastAsia" w:ascii="楷体_GB2312" w:hAnsi="宋体" w:eastAsia="楷体_GB2312" w:cs="宋体"/>
                <w:b/>
                <w:bCs/>
                <w:kern w:val="0"/>
                <w:sz w:val="20"/>
                <w:szCs w:val="20"/>
              </w:rPr>
            </w:pPr>
            <w:r>
              <w:rPr>
                <w:rFonts w:hint="eastAsia" w:ascii="楷体_GB2312" w:hAnsi="宋体" w:eastAsia="楷体_GB2312" w:cs="宋体"/>
                <w:b/>
                <w:bCs/>
                <w:kern w:val="0"/>
                <w:sz w:val="20"/>
                <w:szCs w:val="20"/>
              </w:rPr>
              <w:t>分值</w:t>
            </w:r>
          </w:p>
        </w:tc>
        <w:tc>
          <w:tcPr>
            <w:tcW w:w="5142" w:type="dxa"/>
            <w:shd w:val="clear" w:color="000000" w:fill="FFFFFF"/>
            <w:vAlign w:val="center"/>
          </w:tcPr>
          <w:p w14:paraId="4ED1FC76">
            <w:pPr>
              <w:keepNext w:val="0"/>
              <w:keepLines w:val="0"/>
              <w:suppressLineNumbers w:val="0"/>
              <w:spacing w:before="0" w:beforeAutospacing="0" w:after="0" w:afterAutospacing="0" w:line="300" w:lineRule="exact"/>
              <w:ind w:left="0" w:right="0"/>
              <w:jc w:val="center"/>
              <w:rPr>
                <w:rFonts w:hint="eastAsia" w:ascii="楷体_GB2312" w:hAnsi="宋体" w:eastAsia="楷体_GB2312" w:cs="宋体"/>
                <w:b/>
                <w:bCs/>
                <w:kern w:val="0"/>
                <w:sz w:val="20"/>
                <w:szCs w:val="20"/>
              </w:rPr>
            </w:pPr>
            <w:r>
              <w:rPr>
                <w:rFonts w:hint="eastAsia" w:ascii="楷体_GB2312" w:hAnsi="宋体" w:eastAsia="楷体_GB2312" w:cs="宋体"/>
                <w:b/>
                <w:bCs/>
                <w:kern w:val="0"/>
                <w:sz w:val="20"/>
                <w:szCs w:val="20"/>
              </w:rPr>
              <w:t>评分准则</w:t>
            </w:r>
          </w:p>
        </w:tc>
        <w:tc>
          <w:tcPr>
            <w:tcW w:w="671" w:type="dxa"/>
            <w:shd w:val="clear" w:color="000000" w:fill="FFFFFF"/>
            <w:vAlign w:val="center"/>
          </w:tcPr>
          <w:p w14:paraId="098BFACA">
            <w:pPr>
              <w:keepNext w:val="0"/>
              <w:keepLines w:val="0"/>
              <w:suppressLineNumbers w:val="0"/>
              <w:spacing w:before="0" w:beforeAutospacing="0" w:after="0" w:afterAutospacing="0"/>
              <w:ind w:left="0" w:right="0"/>
              <w:jc w:val="center"/>
              <w:rPr>
                <w:rFonts w:hint="eastAsia" w:ascii="楷体_GB2312" w:hAnsi="宋体" w:eastAsia="楷体_GB2312" w:cs="宋体"/>
                <w:b/>
                <w:bCs/>
                <w:kern w:val="0"/>
                <w:sz w:val="20"/>
                <w:szCs w:val="20"/>
              </w:rPr>
            </w:pPr>
            <w:r>
              <w:rPr>
                <w:rFonts w:hint="eastAsia" w:ascii="楷体_GB2312" w:hAnsi="宋体" w:eastAsia="楷体_GB2312" w:cs="宋体"/>
                <w:b/>
                <w:bCs/>
                <w:kern w:val="0"/>
                <w:sz w:val="20"/>
                <w:szCs w:val="20"/>
              </w:rPr>
              <w:t>得分</w:t>
            </w:r>
          </w:p>
        </w:tc>
      </w:tr>
      <w:tr w14:paraId="72335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7" w:hRule="atLeast"/>
        </w:trPr>
        <w:tc>
          <w:tcPr>
            <w:tcW w:w="1480" w:type="dxa"/>
            <w:vMerge w:val="restart"/>
            <w:shd w:val="clear" w:color="auto" w:fill="auto"/>
            <w:vAlign w:val="center"/>
          </w:tcPr>
          <w:p w14:paraId="5016A7F3">
            <w:pPr>
              <w:keepNext w:val="0"/>
              <w:keepLines w:val="0"/>
              <w:widowControl/>
              <w:suppressLineNumbers w:val="0"/>
              <w:spacing w:before="0" w:beforeAutospacing="0" w:after="0" w:afterAutospacing="0" w:line="300" w:lineRule="exact"/>
              <w:ind w:left="0" w:right="0"/>
              <w:jc w:val="center"/>
              <w:rPr>
                <w:rFonts w:hint="eastAsia" w:ascii="仿宋" w:hAnsi="仿宋" w:eastAsia="仿宋" w:cs="仿宋"/>
                <w:kern w:val="0"/>
                <w:lang w:eastAsia="zh-CN"/>
              </w:rPr>
            </w:pPr>
            <w:r>
              <w:rPr>
                <w:rFonts w:hint="eastAsia" w:ascii="仿宋" w:hAnsi="仿宋" w:eastAsia="仿宋" w:cs="仿宋"/>
                <w:kern w:val="0"/>
                <w:lang w:eastAsia="zh-CN"/>
              </w:rPr>
              <w:t>方案设计可行性和创新性</w:t>
            </w:r>
          </w:p>
          <w:p w14:paraId="0EE1AC6C">
            <w:pPr>
              <w:keepNext w:val="0"/>
              <w:keepLines w:val="0"/>
              <w:widowControl/>
              <w:suppressLineNumbers w:val="0"/>
              <w:spacing w:before="0" w:beforeAutospacing="0" w:after="0" w:afterAutospacing="0" w:line="300" w:lineRule="exact"/>
              <w:ind w:left="0" w:right="0"/>
              <w:jc w:val="center"/>
              <w:rPr>
                <w:rFonts w:hint="eastAsia" w:ascii="仿宋" w:hAnsi="仿宋" w:eastAsia="仿宋" w:cs="仿宋"/>
                <w:kern w:val="0"/>
                <w:lang w:eastAsia="zh-CN"/>
              </w:rPr>
            </w:pPr>
            <w:r>
              <w:rPr>
                <w:rFonts w:hint="eastAsia" w:ascii="仿宋" w:hAnsi="仿宋" w:eastAsia="仿宋" w:cs="仿宋"/>
                <w:kern w:val="0"/>
                <w:lang w:eastAsia="zh-CN"/>
              </w:rPr>
              <w:t>评分</w:t>
            </w:r>
          </w:p>
          <w:p w14:paraId="0962613F">
            <w:pPr>
              <w:keepNext w:val="0"/>
              <w:keepLines w:val="0"/>
              <w:widowControl/>
              <w:suppressLineNumbers w:val="0"/>
              <w:spacing w:before="0" w:beforeAutospacing="0" w:after="0" w:afterAutospacing="0" w:line="300" w:lineRule="exact"/>
              <w:ind w:left="0" w:right="0"/>
              <w:jc w:val="center"/>
              <w:rPr>
                <w:rFonts w:hint="eastAsia" w:ascii="仿宋" w:hAnsi="仿宋" w:eastAsia="仿宋" w:cs="仿宋"/>
                <w:kern w:val="0"/>
                <w:lang w:eastAsia="zh-CN"/>
              </w:rPr>
            </w:pPr>
            <w:r>
              <w:rPr>
                <w:rFonts w:hint="eastAsia" w:ascii="仿宋" w:hAnsi="仿宋" w:eastAsia="仿宋" w:cs="仿宋"/>
                <w:kern w:val="0"/>
                <w:lang w:eastAsia="zh-CN"/>
              </w:rPr>
              <w:t>（</w:t>
            </w:r>
            <w:r>
              <w:rPr>
                <w:rFonts w:hint="eastAsia" w:ascii="仿宋" w:hAnsi="仿宋" w:eastAsia="仿宋" w:cs="仿宋"/>
                <w:kern w:val="0"/>
                <w:lang w:val="en-US" w:eastAsia="zh-CN"/>
              </w:rPr>
              <w:t>50分</w:t>
            </w:r>
            <w:r>
              <w:rPr>
                <w:rFonts w:hint="eastAsia" w:ascii="仿宋" w:hAnsi="仿宋" w:eastAsia="仿宋" w:cs="仿宋"/>
                <w:kern w:val="0"/>
                <w:lang w:eastAsia="zh-CN"/>
              </w:rPr>
              <w:t>）</w:t>
            </w:r>
          </w:p>
        </w:tc>
        <w:tc>
          <w:tcPr>
            <w:tcW w:w="1184" w:type="dxa"/>
            <w:shd w:val="clear" w:color="000000" w:fill="FFFFFF"/>
            <w:vAlign w:val="center"/>
          </w:tcPr>
          <w:p w14:paraId="69781964">
            <w:pPr>
              <w:keepNext w:val="0"/>
              <w:keepLines w:val="0"/>
              <w:widowControl/>
              <w:suppressLineNumbers w:val="0"/>
              <w:spacing w:before="0" w:beforeAutospacing="0" w:after="0" w:afterAutospacing="0" w:line="300" w:lineRule="exact"/>
              <w:ind w:left="0" w:right="0"/>
              <w:jc w:val="center"/>
              <w:rPr>
                <w:rFonts w:hint="eastAsia" w:ascii="仿宋" w:hAnsi="仿宋" w:eastAsia="仿宋" w:cs="仿宋"/>
                <w:kern w:val="0"/>
                <w:lang w:eastAsia="zh-CN"/>
              </w:rPr>
            </w:pPr>
            <w:r>
              <w:rPr>
                <w:rFonts w:hint="eastAsia" w:ascii="仿宋" w:hAnsi="仿宋" w:eastAsia="仿宋" w:cs="仿宋"/>
                <w:kern w:val="0"/>
                <w:lang w:eastAsia="zh-CN"/>
              </w:rPr>
              <w:t>方案设计可行性和创新性</w:t>
            </w:r>
          </w:p>
        </w:tc>
        <w:tc>
          <w:tcPr>
            <w:tcW w:w="780" w:type="dxa"/>
            <w:shd w:val="clear" w:color="000000" w:fill="FFFFFF"/>
            <w:vAlign w:val="center"/>
          </w:tcPr>
          <w:p w14:paraId="4233DFAE">
            <w:pPr>
              <w:keepNext w:val="0"/>
              <w:keepLines w:val="0"/>
              <w:widowControl/>
              <w:suppressLineNumbers w:val="0"/>
              <w:spacing w:before="0" w:beforeAutospacing="0" w:after="0" w:afterAutospacing="0" w:line="300" w:lineRule="exact"/>
              <w:ind w:left="0" w:right="0"/>
              <w:jc w:val="center"/>
              <w:rPr>
                <w:rFonts w:hint="default" w:ascii="仿宋" w:hAnsi="仿宋" w:eastAsia="仿宋" w:cs="仿宋"/>
                <w:kern w:val="0"/>
                <w:lang w:val="en-US" w:eastAsia="zh-CN"/>
              </w:rPr>
            </w:pPr>
            <w:bookmarkStart w:id="0" w:name="_GoBack"/>
            <w:bookmarkEnd w:id="0"/>
            <w:r>
              <w:rPr>
                <w:rFonts w:hint="eastAsia" w:ascii="仿宋" w:hAnsi="仿宋" w:eastAsia="仿宋" w:cs="仿宋"/>
                <w:kern w:val="0"/>
                <w:lang w:val="en-US" w:eastAsia="zh-CN"/>
              </w:rPr>
              <w:t>40</w:t>
            </w:r>
          </w:p>
        </w:tc>
        <w:tc>
          <w:tcPr>
            <w:tcW w:w="5142" w:type="dxa"/>
            <w:shd w:val="clear" w:color="000000" w:fill="FFFFFF"/>
            <w:vAlign w:val="center"/>
          </w:tcPr>
          <w:p w14:paraId="00533664">
            <w:pPr>
              <w:keepNext w:val="0"/>
              <w:keepLines w:val="0"/>
              <w:widowControl/>
              <w:suppressLineNumbers w:val="0"/>
              <w:spacing w:before="0" w:beforeAutospacing="0" w:after="0" w:afterAutospacing="0" w:line="300" w:lineRule="exact"/>
              <w:ind w:left="0" w:right="0"/>
              <w:jc w:val="left"/>
              <w:rPr>
                <w:rFonts w:hint="eastAsia" w:ascii="仿宋" w:hAnsi="仿宋" w:eastAsia="仿宋" w:cs="仿宋"/>
                <w:kern w:val="0"/>
                <w:lang w:eastAsia="zh-CN"/>
              </w:rPr>
            </w:pPr>
            <w:r>
              <w:rPr>
                <w:rFonts w:hint="eastAsia" w:ascii="仿宋" w:hAnsi="仿宋" w:eastAsia="仿宋" w:cs="仿宋"/>
                <w:kern w:val="0"/>
                <w:lang w:eastAsia="zh-CN"/>
              </w:rPr>
              <w:t>根据项目采购需求，各供应商对婚姻政策体现性、整体氛围和</w:t>
            </w:r>
            <w:r>
              <w:rPr>
                <w:rFonts w:hint="eastAsia" w:ascii="仿宋" w:hAnsi="仿宋" w:eastAsia="仿宋" w:cs="Times New Roman"/>
                <w:sz w:val="21"/>
                <w:szCs w:val="21"/>
                <w:lang w:val="en-US" w:eastAsia="zh-CN" w:bidi="ar"/>
              </w:rPr>
              <w:t>婚俗文化宣传</w:t>
            </w:r>
            <w:r>
              <w:rPr>
                <w:rFonts w:hint="eastAsia" w:ascii="仿宋" w:hAnsi="仿宋" w:eastAsia="仿宋" w:cs="仿宋"/>
                <w:kern w:val="0"/>
                <w:lang w:eastAsia="zh-CN"/>
              </w:rPr>
              <w:t>设计的总体理解程度等制定方案。根据方案是否具备可行性和创新性进行综合评分，有否设计出适合婚姻登记处实际需要的氛围布置和婚俗文化宣传制作等，如对婚姻登记办证大厅和颁证厅的升级氛围布置、更新办证大厅上墙婚姻登记指南和对婚姻登记场地制作婚俗文化宣传等。</w:t>
            </w:r>
          </w:p>
          <w:p w14:paraId="1472C302">
            <w:pPr>
              <w:keepNext w:val="0"/>
              <w:keepLines w:val="0"/>
              <w:widowControl/>
              <w:suppressLineNumbers w:val="0"/>
              <w:spacing w:before="0" w:beforeAutospacing="0" w:after="0" w:afterAutospacing="0" w:line="300" w:lineRule="exact"/>
              <w:ind w:left="0" w:right="0"/>
              <w:jc w:val="left"/>
              <w:rPr>
                <w:rFonts w:hint="eastAsia" w:ascii="仿宋" w:hAnsi="仿宋" w:eastAsia="仿宋" w:cs="Times New Roman"/>
                <w:sz w:val="21"/>
                <w:szCs w:val="21"/>
                <w:lang w:val="en-US" w:eastAsia="zh-CN" w:bidi="ar"/>
              </w:rPr>
            </w:pPr>
            <w:r>
              <w:rPr>
                <w:rFonts w:hint="eastAsia" w:ascii="仿宋" w:hAnsi="仿宋" w:eastAsia="仿宋" w:cs="Times New Roman"/>
                <w:b/>
                <w:bCs/>
                <w:sz w:val="21"/>
                <w:szCs w:val="21"/>
                <w:lang w:val="en-US" w:eastAsia="zh-CN" w:bidi="ar"/>
              </w:rPr>
              <w:t>优秀（40-35分）：</w:t>
            </w:r>
            <w:r>
              <w:rPr>
                <w:rFonts w:hint="eastAsia" w:ascii="仿宋" w:hAnsi="仿宋" w:eastAsia="仿宋" w:cs="Times New Roman"/>
                <w:sz w:val="21"/>
                <w:szCs w:val="21"/>
                <w:lang w:val="en-US" w:eastAsia="zh-CN" w:bidi="ar"/>
              </w:rPr>
              <w:t>对本项目内容、氛围布置、婚俗文化宣传等设计内容描述准确无误，有自己独特新意；</w:t>
            </w:r>
          </w:p>
          <w:p w14:paraId="01DC6537">
            <w:pPr>
              <w:keepNext w:val="0"/>
              <w:keepLines w:val="0"/>
              <w:widowControl/>
              <w:suppressLineNumbers w:val="0"/>
              <w:spacing w:before="0" w:beforeAutospacing="0" w:after="0" w:afterAutospacing="0" w:line="300" w:lineRule="exact"/>
              <w:ind w:left="0" w:right="0"/>
              <w:jc w:val="left"/>
              <w:rPr>
                <w:rFonts w:hint="eastAsia" w:ascii="仿宋" w:hAnsi="仿宋" w:eastAsia="仿宋" w:cs="Times New Roman"/>
                <w:sz w:val="21"/>
                <w:szCs w:val="21"/>
                <w:lang w:val="en-US" w:eastAsia="zh-CN" w:bidi="ar"/>
              </w:rPr>
            </w:pPr>
            <w:r>
              <w:rPr>
                <w:rFonts w:hint="eastAsia" w:ascii="仿宋" w:hAnsi="仿宋" w:eastAsia="仿宋" w:cs="Times New Roman"/>
                <w:b/>
                <w:bCs/>
                <w:sz w:val="21"/>
                <w:szCs w:val="21"/>
                <w:lang w:val="en-US" w:eastAsia="zh-CN" w:bidi="ar"/>
              </w:rPr>
              <w:t>良好（34-30分）：</w:t>
            </w:r>
            <w:r>
              <w:rPr>
                <w:rFonts w:hint="eastAsia" w:ascii="仿宋" w:hAnsi="仿宋" w:eastAsia="仿宋" w:cs="Times New Roman"/>
                <w:sz w:val="21"/>
                <w:szCs w:val="21"/>
                <w:lang w:val="en-US" w:eastAsia="zh-CN" w:bidi="ar"/>
              </w:rPr>
              <w:t>整体设计内容较完善，创意中规中矩；</w:t>
            </w:r>
          </w:p>
          <w:p w14:paraId="0BC3EA6C">
            <w:pPr>
              <w:keepNext w:val="0"/>
              <w:keepLines w:val="0"/>
              <w:widowControl/>
              <w:suppressLineNumbers w:val="0"/>
              <w:spacing w:before="0" w:beforeAutospacing="0" w:after="0" w:afterAutospacing="0" w:line="300" w:lineRule="exact"/>
              <w:ind w:left="0" w:right="0"/>
              <w:jc w:val="left"/>
              <w:rPr>
                <w:rFonts w:hint="eastAsia" w:ascii="仿宋" w:hAnsi="仿宋" w:eastAsia="仿宋" w:cs="Times New Roman"/>
                <w:sz w:val="21"/>
                <w:szCs w:val="21"/>
                <w:lang w:val="en-US" w:eastAsia="zh-CN" w:bidi="ar"/>
              </w:rPr>
            </w:pPr>
            <w:r>
              <w:rPr>
                <w:rFonts w:hint="eastAsia" w:ascii="仿宋" w:hAnsi="仿宋" w:eastAsia="仿宋" w:cs="Times New Roman"/>
                <w:b/>
                <w:bCs/>
                <w:sz w:val="21"/>
                <w:szCs w:val="21"/>
                <w:lang w:val="en-US" w:eastAsia="zh-CN" w:bidi="ar"/>
              </w:rPr>
              <w:t>一般（29-20分）：</w:t>
            </w:r>
            <w:r>
              <w:rPr>
                <w:rFonts w:hint="eastAsia" w:ascii="仿宋" w:hAnsi="仿宋" w:eastAsia="仿宋" w:cs="Times New Roman"/>
                <w:sz w:val="21"/>
                <w:szCs w:val="21"/>
                <w:lang w:val="en-US" w:eastAsia="zh-CN" w:bidi="ar"/>
              </w:rPr>
              <w:t>整体设计内容一般，创意乏善可陈；</w:t>
            </w:r>
          </w:p>
          <w:p w14:paraId="44A1BD61">
            <w:pPr>
              <w:keepNext w:val="0"/>
              <w:keepLines w:val="0"/>
              <w:widowControl/>
              <w:suppressLineNumbers w:val="0"/>
              <w:spacing w:before="0" w:beforeAutospacing="0" w:after="0" w:afterAutospacing="0" w:line="300" w:lineRule="exact"/>
              <w:ind w:left="0" w:right="0"/>
              <w:jc w:val="left"/>
              <w:rPr>
                <w:rFonts w:hint="eastAsia" w:ascii="仿宋" w:hAnsi="仿宋" w:eastAsia="仿宋" w:cs="仿宋"/>
                <w:kern w:val="0"/>
                <w:lang w:eastAsia="zh-CN"/>
              </w:rPr>
            </w:pPr>
            <w:r>
              <w:rPr>
                <w:rFonts w:hint="eastAsia" w:ascii="仿宋" w:hAnsi="仿宋" w:eastAsia="仿宋" w:cs="Times New Roman"/>
                <w:b/>
                <w:bCs/>
                <w:sz w:val="21"/>
                <w:szCs w:val="21"/>
                <w:lang w:val="en-US" w:eastAsia="zh-CN" w:bidi="ar"/>
              </w:rPr>
              <w:t>差（19-1分）：</w:t>
            </w:r>
            <w:r>
              <w:rPr>
                <w:rFonts w:hint="eastAsia" w:ascii="仿宋" w:hAnsi="仿宋" w:eastAsia="仿宋" w:cs="Times New Roman"/>
                <w:sz w:val="21"/>
                <w:szCs w:val="21"/>
                <w:lang w:val="en-US" w:eastAsia="zh-CN" w:bidi="ar"/>
              </w:rPr>
              <w:t>整体设计内容较差、毫无创意。</w:t>
            </w:r>
          </w:p>
        </w:tc>
        <w:tc>
          <w:tcPr>
            <w:tcW w:w="671" w:type="dxa"/>
            <w:shd w:val="clear" w:color="000000" w:fill="FFFFFF"/>
            <w:vAlign w:val="top"/>
          </w:tcPr>
          <w:p w14:paraId="38D20648">
            <w:pPr>
              <w:keepNext w:val="0"/>
              <w:keepLines w:val="0"/>
              <w:widowControl/>
              <w:suppressLineNumbers w:val="0"/>
              <w:spacing w:before="0" w:beforeAutospacing="0" w:after="0" w:afterAutospacing="0" w:line="240" w:lineRule="exact"/>
              <w:ind w:left="0" w:right="0"/>
              <w:rPr>
                <w:rFonts w:hint="eastAsia" w:ascii="仿宋" w:hAnsi="仿宋" w:eastAsia="仿宋" w:cs="仿宋"/>
                <w:kern w:val="0"/>
                <w:sz w:val="18"/>
                <w:szCs w:val="18"/>
              </w:rPr>
            </w:pPr>
          </w:p>
          <w:p w14:paraId="361726A1">
            <w:pPr>
              <w:keepNext w:val="0"/>
              <w:keepLines w:val="0"/>
              <w:widowControl/>
              <w:suppressLineNumbers w:val="0"/>
              <w:spacing w:before="0" w:beforeAutospacing="0" w:after="0" w:afterAutospacing="0" w:line="240" w:lineRule="exact"/>
              <w:ind w:left="0" w:right="0"/>
              <w:rPr>
                <w:rFonts w:hint="eastAsia" w:ascii="仿宋" w:hAnsi="仿宋" w:eastAsia="仿宋" w:cs="仿宋"/>
                <w:kern w:val="0"/>
                <w:sz w:val="18"/>
                <w:szCs w:val="18"/>
              </w:rPr>
            </w:pPr>
          </w:p>
        </w:tc>
      </w:tr>
      <w:tr w14:paraId="0DFE9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4" w:hRule="atLeast"/>
        </w:trPr>
        <w:tc>
          <w:tcPr>
            <w:tcW w:w="1480" w:type="dxa"/>
            <w:vMerge w:val="continue"/>
            <w:shd w:val="clear" w:color="auto" w:fill="auto"/>
            <w:vAlign w:val="center"/>
          </w:tcPr>
          <w:p w14:paraId="185F489B">
            <w:pPr>
              <w:keepNext w:val="0"/>
              <w:keepLines w:val="0"/>
              <w:widowControl/>
              <w:suppressLineNumbers w:val="0"/>
              <w:spacing w:before="0" w:beforeAutospacing="0" w:after="0" w:afterAutospacing="0" w:line="300" w:lineRule="exact"/>
              <w:ind w:left="0" w:right="0"/>
              <w:jc w:val="center"/>
              <w:rPr>
                <w:rFonts w:hint="eastAsia" w:ascii="仿宋" w:hAnsi="仿宋" w:eastAsia="仿宋" w:cs="仿宋"/>
                <w:kern w:val="0"/>
                <w:lang w:eastAsia="zh-CN"/>
              </w:rPr>
            </w:pPr>
          </w:p>
        </w:tc>
        <w:tc>
          <w:tcPr>
            <w:tcW w:w="1184" w:type="dxa"/>
            <w:shd w:val="clear" w:color="000000" w:fill="FFFFFF"/>
            <w:vAlign w:val="center"/>
          </w:tcPr>
          <w:p w14:paraId="3621AB95">
            <w:pPr>
              <w:keepNext w:val="0"/>
              <w:keepLines w:val="0"/>
              <w:widowControl/>
              <w:suppressLineNumbers w:val="0"/>
              <w:spacing w:before="0" w:beforeAutospacing="0" w:after="0" w:afterAutospacing="0" w:line="300" w:lineRule="exact"/>
              <w:ind w:left="0" w:right="0"/>
              <w:jc w:val="center"/>
              <w:rPr>
                <w:rFonts w:hint="eastAsia" w:ascii="仿宋" w:hAnsi="仿宋" w:eastAsia="仿宋" w:cs="仿宋"/>
                <w:kern w:val="0"/>
                <w:lang w:eastAsia="zh-CN"/>
              </w:rPr>
            </w:pPr>
            <w:r>
              <w:rPr>
                <w:rFonts w:hint="eastAsia" w:ascii="仿宋" w:hAnsi="仿宋" w:eastAsia="仿宋" w:cs="仿宋"/>
                <w:kern w:val="0"/>
                <w:lang w:eastAsia="zh-CN"/>
              </w:rPr>
              <w:t>后续服务保障力</w:t>
            </w:r>
          </w:p>
        </w:tc>
        <w:tc>
          <w:tcPr>
            <w:tcW w:w="780" w:type="dxa"/>
            <w:shd w:val="clear" w:color="000000" w:fill="FFFFFF"/>
            <w:vAlign w:val="center"/>
          </w:tcPr>
          <w:p w14:paraId="63571612">
            <w:pPr>
              <w:keepNext w:val="0"/>
              <w:keepLines w:val="0"/>
              <w:widowControl/>
              <w:suppressLineNumbers w:val="0"/>
              <w:spacing w:before="0" w:beforeAutospacing="0" w:after="0" w:afterAutospacing="0" w:line="300" w:lineRule="exact"/>
              <w:ind w:left="0" w:right="0"/>
              <w:jc w:val="center"/>
              <w:rPr>
                <w:rFonts w:hint="default" w:ascii="仿宋" w:hAnsi="仿宋" w:eastAsia="仿宋" w:cs="仿宋"/>
                <w:kern w:val="0"/>
                <w:lang w:val="en-US" w:eastAsia="zh-CN"/>
              </w:rPr>
            </w:pPr>
            <w:r>
              <w:rPr>
                <w:rFonts w:hint="eastAsia" w:ascii="仿宋" w:hAnsi="仿宋" w:eastAsia="仿宋" w:cs="仿宋"/>
                <w:kern w:val="0"/>
                <w:lang w:val="en-US" w:eastAsia="zh-CN"/>
              </w:rPr>
              <w:t>10</w:t>
            </w:r>
          </w:p>
        </w:tc>
        <w:tc>
          <w:tcPr>
            <w:tcW w:w="5142" w:type="dxa"/>
            <w:shd w:val="clear" w:color="000000" w:fill="FFFFFF"/>
            <w:vAlign w:val="center"/>
          </w:tcPr>
          <w:p w14:paraId="28AC64B1">
            <w:pPr>
              <w:keepNext w:val="0"/>
              <w:keepLines w:val="0"/>
              <w:widowControl/>
              <w:suppressLineNumbers w:val="0"/>
              <w:spacing w:before="0" w:beforeAutospacing="0" w:after="0" w:afterAutospacing="0" w:line="300" w:lineRule="exact"/>
              <w:ind w:left="0" w:right="0"/>
              <w:jc w:val="left"/>
              <w:rPr>
                <w:rFonts w:hint="eastAsia" w:ascii="仿宋" w:hAnsi="仿宋" w:eastAsia="仿宋" w:cs="仿宋"/>
                <w:kern w:val="0"/>
                <w:lang w:eastAsia="zh-CN"/>
              </w:rPr>
            </w:pPr>
            <w:r>
              <w:rPr>
                <w:rFonts w:hint="eastAsia" w:ascii="仿宋" w:hAnsi="仿宋" w:eastAsia="仿宋" w:cs="仿宋"/>
                <w:kern w:val="0"/>
                <w:lang w:eastAsia="zh-CN"/>
              </w:rPr>
              <w:t>根据工作方案后续服务进行评估，是否明确保修期，服务响应是否及时、顺畅。</w:t>
            </w:r>
          </w:p>
          <w:p w14:paraId="6B8D3866">
            <w:pPr>
              <w:keepNext w:val="0"/>
              <w:keepLines w:val="0"/>
              <w:widowControl/>
              <w:suppressLineNumbers w:val="0"/>
              <w:spacing w:before="0" w:beforeAutospacing="0" w:after="0" w:afterAutospacing="0" w:line="300" w:lineRule="exact"/>
              <w:ind w:left="0" w:right="0"/>
              <w:jc w:val="left"/>
              <w:rPr>
                <w:rFonts w:hint="default" w:ascii="仿宋" w:hAnsi="仿宋" w:eastAsia="仿宋" w:cs="仿宋"/>
                <w:kern w:val="0"/>
                <w:lang w:val="en-US" w:eastAsia="zh-CN"/>
              </w:rPr>
            </w:pPr>
            <w:r>
              <w:rPr>
                <w:rFonts w:hint="eastAsia" w:ascii="仿宋" w:hAnsi="仿宋" w:eastAsia="仿宋" w:cs="Times New Roman"/>
                <w:b/>
                <w:bCs/>
                <w:sz w:val="21"/>
                <w:szCs w:val="21"/>
                <w:lang w:val="en-US" w:eastAsia="zh-CN" w:bidi="ar"/>
              </w:rPr>
              <w:t>优秀（10-9分）；良好（8-7分）；一般（6-5分）；差（4-1分）。</w:t>
            </w:r>
          </w:p>
        </w:tc>
        <w:tc>
          <w:tcPr>
            <w:tcW w:w="671" w:type="dxa"/>
            <w:shd w:val="clear" w:color="000000" w:fill="FFFFFF"/>
            <w:vAlign w:val="top"/>
          </w:tcPr>
          <w:p w14:paraId="52619512">
            <w:pPr>
              <w:keepNext w:val="0"/>
              <w:keepLines w:val="0"/>
              <w:widowControl/>
              <w:suppressLineNumbers w:val="0"/>
              <w:spacing w:before="0" w:beforeAutospacing="0" w:after="0" w:afterAutospacing="0" w:line="240" w:lineRule="exact"/>
              <w:ind w:left="0" w:right="0"/>
              <w:rPr>
                <w:rFonts w:hint="eastAsia" w:ascii="仿宋" w:hAnsi="仿宋" w:eastAsia="仿宋" w:cs="仿宋"/>
                <w:kern w:val="0"/>
                <w:sz w:val="18"/>
                <w:szCs w:val="18"/>
              </w:rPr>
            </w:pPr>
          </w:p>
        </w:tc>
      </w:tr>
      <w:tr w14:paraId="3A61F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trPr>
        <w:tc>
          <w:tcPr>
            <w:tcW w:w="1480" w:type="dxa"/>
            <w:shd w:val="clear" w:color="auto" w:fill="auto"/>
            <w:vAlign w:val="center"/>
          </w:tcPr>
          <w:p w14:paraId="4D2D5F18">
            <w:pPr>
              <w:keepNext w:val="0"/>
              <w:keepLines w:val="0"/>
              <w:widowControl/>
              <w:suppressLineNumbers w:val="0"/>
              <w:spacing w:before="0" w:beforeAutospacing="0" w:after="0" w:afterAutospacing="0" w:line="300" w:lineRule="exact"/>
              <w:ind w:left="0" w:right="0"/>
              <w:jc w:val="center"/>
              <w:rPr>
                <w:rFonts w:hint="eastAsia" w:ascii="仿宋" w:hAnsi="仿宋" w:eastAsia="仿宋" w:cs="仿宋"/>
                <w:kern w:val="0"/>
                <w:lang w:eastAsia="zh-CN"/>
              </w:rPr>
            </w:pPr>
            <w:r>
              <w:rPr>
                <w:rFonts w:hint="eastAsia" w:ascii="仿宋" w:hAnsi="仿宋" w:eastAsia="仿宋" w:cs="仿宋"/>
                <w:kern w:val="0"/>
                <w:lang w:eastAsia="zh-CN"/>
              </w:rPr>
              <w:t>商务评分</w:t>
            </w:r>
          </w:p>
          <w:p w14:paraId="65D1404F">
            <w:pPr>
              <w:keepNext w:val="0"/>
              <w:keepLines w:val="0"/>
              <w:widowControl/>
              <w:suppressLineNumbers w:val="0"/>
              <w:spacing w:before="0" w:beforeAutospacing="0" w:after="0" w:afterAutospacing="0" w:line="300" w:lineRule="exact"/>
              <w:ind w:left="0" w:right="0"/>
              <w:jc w:val="center"/>
              <w:rPr>
                <w:rFonts w:hint="eastAsia" w:ascii="仿宋" w:hAnsi="仿宋" w:eastAsia="仿宋" w:cs="仿宋"/>
                <w:kern w:val="0"/>
                <w:lang w:eastAsia="zh-CN"/>
              </w:rPr>
            </w:pPr>
            <w:r>
              <w:rPr>
                <w:rFonts w:hint="eastAsia" w:ascii="仿宋" w:hAnsi="仿宋" w:eastAsia="仿宋" w:cs="仿宋"/>
                <w:kern w:val="0"/>
                <w:lang w:eastAsia="zh-CN"/>
              </w:rPr>
              <w:t>（</w:t>
            </w:r>
            <w:r>
              <w:rPr>
                <w:rFonts w:hint="eastAsia" w:ascii="仿宋" w:hAnsi="仿宋" w:eastAsia="仿宋" w:cs="仿宋"/>
                <w:kern w:val="0"/>
                <w:lang w:val="en-US" w:eastAsia="zh-CN"/>
              </w:rPr>
              <w:t>20分</w:t>
            </w:r>
            <w:r>
              <w:rPr>
                <w:rFonts w:hint="eastAsia" w:ascii="仿宋" w:hAnsi="仿宋" w:eastAsia="仿宋" w:cs="仿宋"/>
                <w:kern w:val="0"/>
                <w:lang w:eastAsia="zh-CN"/>
              </w:rPr>
              <w:t>）</w:t>
            </w:r>
          </w:p>
        </w:tc>
        <w:tc>
          <w:tcPr>
            <w:tcW w:w="1184" w:type="dxa"/>
            <w:shd w:val="clear" w:color="000000" w:fill="FFFFFF"/>
            <w:vAlign w:val="center"/>
          </w:tcPr>
          <w:p w14:paraId="68C07D05">
            <w:pPr>
              <w:keepNext w:val="0"/>
              <w:keepLines w:val="0"/>
              <w:widowControl/>
              <w:suppressLineNumbers w:val="0"/>
              <w:spacing w:before="0" w:beforeAutospacing="0" w:after="0" w:afterAutospacing="0" w:line="300" w:lineRule="exact"/>
              <w:ind w:left="0" w:right="0"/>
              <w:jc w:val="center"/>
              <w:rPr>
                <w:rFonts w:hint="default" w:ascii="仿宋" w:hAnsi="仿宋" w:eastAsia="仿宋" w:cs="仿宋"/>
                <w:kern w:val="0"/>
              </w:rPr>
            </w:pPr>
            <w:r>
              <w:rPr>
                <w:rFonts w:hint="eastAsia" w:ascii="仿宋" w:hAnsi="仿宋" w:eastAsia="仿宋" w:cs="宋体"/>
                <w:color w:val="000000"/>
                <w:lang w:eastAsia="zh-CN"/>
              </w:rPr>
              <w:t>资质情况</w:t>
            </w:r>
          </w:p>
        </w:tc>
        <w:tc>
          <w:tcPr>
            <w:tcW w:w="780" w:type="dxa"/>
            <w:shd w:val="clear" w:color="000000" w:fill="FFFFFF"/>
            <w:vAlign w:val="center"/>
          </w:tcPr>
          <w:p w14:paraId="3CE086C7">
            <w:pPr>
              <w:keepNext w:val="0"/>
              <w:keepLines w:val="0"/>
              <w:widowControl/>
              <w:suppressLineNumbers w:val="0"/>
              <w:spacing w:before="0" w:beforeAutospacing="0" w:after="0" w:afterAutospacing="0" w:line="300" w:lineRule="exact"/>
              <w:ind w:left="0" w:right="0"/>
              <w:jc w:val="center"/>
              <w:rPr>
                <w:rFonts w:hint="default" w:ascii="仿宋" w:hAnsi="仿宋" w:eastAsia="仿宋" w:cs="仿宋"/>
                <w:kern w:val="0"/>
                <w:lang w:val="en-US" w:eastAsia="zh-CN"/>
              </w:rPr>
            </w:pPr>
            <w:r>
              <w:rPr>
                <w:rFonts w:hint="eastAsia" w:ascii="仿宋" w:hAnsi="仿宋" w:eastAsia="仿宋" w:cs="仿宋"/>
                <w:kern w:val="0"/>
                <w:lang w:val="en-US" w:eastAsia="zh-CN"/>
              </w:rPr>
              <w:t>20</w:t>
            </w:r>
          </w:p>
        </w:tc>
        <w:tc>
          <w:tcPr>
            <w:tcW w:w="5142" w:type="dxa"/>
            <w:shd w:val="clear" w:color="000000" w:fill="FFFFFF"/>
            <w:vAlign w:val="center"/>
          </w:tcPr>
          <w:p w14:paraId="7D36E27C">
            <w:pPr>
              <w:keepNext w:val="0"/>
              <w:keepLines w:val="0"/>
              <w:widowControl/>
              <w:numPr>
                <w:ilvl w:val="0"/>
                <w:numId w:val="1"/>
              </w:numPr>
              <w:suppressLineNumbers w:val="0"/>
              <w:autoSpaceDE w:val="0"/>
              <w:autoSpaceDN w:val="0"/>
              <w:adjustRightInd w:val="0"/>
              <w:spacing w:before="0" w:beforeAutospacing="0" w:after="0" w:afterAutospacing="0" w:line="300" w:lineRule="exact"/>
              <w:ind w:left="0" w:right="0"/>
              <w:jc w:val="left"/>
              <w:rPr>
                <w:rFonts w:hint="default" w:ascii="仿宋" w:hAnsi="仿宋" w:eastAsia="仿宋" w:cs="宋体"/>
                <w:color w:val="000000"/>
              </w:rPr>
            </w:pPr>
            <w:r>
              <w:rPr>
                <w:rFonts w:hint="eastAsia" w:ascii="仿宋" w:hAnsi="仿宋" w:eastAsia="仿宋" w:cs="宋体"/>
                <w:color w:val="000000"/>
                <w:lang w:eastAsia="zh-CN"/>
              </w:rPr>
              <w:t>供应</w:t>
            </w:r>
            <w:r>
              <w:rPr>
                <w:rFonts w:hint="eastAsia" w:ascii="仿宋" w:hAnsi="仿宋" w:eastAsia="仿宋" w:cs="宋体"/>
                <w:color w:val="000000"/>
              </w:rPr>
              <w:t>商</w:t>
            </w:r>
            <w:r>
              <w:rPr>
                <w:rFonts w:hint="eastAsia" w:ascii="仿宋" w:hAnsi="仿宋" w:eastAsia="仿宋" w:cs="宋体"/>
                <w:color w:val="000000"/>
                <w:lang w:eastAsia="zh-CN"/>
              </w:rPr>
              <w:t>是否</w:t>
            </w:r>
            <w:r>
              <w:rPr>
                <w:rFonts w:hint="eastAsia" w:ascii="仿宋" w:hAnsi="仿宋" w:eastAsia="仿宋" w:cs="宋体"/>
                <w:color w:val="000000"/>
              </w:rPr>
              <w:t>具</w:t>
            </w:r>
            <w:r>
              <w:rPr>
                <w:rFonts w:hint="eastAsia" w:ascii="仿宋" w:hAnsi="仿宋" w:eastAsia="仿宋" w:cs="宋体"/>
                <w:color w:val="000000"/>
                <w:lang w:eastAsia="zh-CN"/>
              </w:rPr>
              <w:t>备有效的营业执照证书。</w:t>
            </w:r>
            <w:r>
              <w:rPr>
                <w:rFonts w:hint="eastAsia" w:ascii="仿宋" w:hAnsi="仿宋" w:eastAsia="仿宋" w:cs="宋体"/>
                <w:b/>
                <w:bCs/>
                <w:color w:val="000000"/>
                <w:lang w:eastAsia="zh-CN"/>
              </w:rPr>
              <w:t>（</w:t>
            </w:r>
            <w:r>
              <w:rPr>
                <w:rFonts w:hint="eastAsia" w:ascii="仿宋" w:hAnsi="仿宋" w:eastAsia="仿宋" w:cs="宋体"/>
                <w:b/>
                <w:bCs/>
                <w:color w:val="000000"/>
                <w:lang w:val="en-US" w:eastAsia="zh-CN"/>
              </w:rPr>
              <w:t>10分</w:t>
            </w:r>
            <w:r>
              <w:rPr>
                <w:rFonts w:hint="eastAsia" w:ascii="仿宋" w:hAnsi="仿宋" w:eastAsia="仿宋" w:cs="宋体"/>
                <w:b/>
                <w:bCs/>
                <w:color w:val="000000"/>
                <w:lang w:eastAsia="zh-CN"/>
              </w:rPr>
              <w:t>）</w:t>
            </w:r>
          </w:p>
          <w:p w14:paraId="1DDF275F">
            <w:pPr>
              <w:keepNext w:val="0"/>
              <w:keepLines w:val="0"/>
              <w:widowControl/>
              <w:numPr>
                <w:ilvl w:val="0"/>
                <w:numId w:val="1"/>
              </w:numPr>
              <w:suppressLineNumbers w:val="0"/>
              <w:autoSpaceDE w:val="0"/>
              <w:autoSpaceDN w:val="0"/>
              <w:adjustRightInd w:val="0"/>
              <w:spacing w:before="0" w:beforeAutospacing="0" w:after="0" w:afterAutospacing="0" w:line="300" w:lineRule="exact"/>
              <w:ind w:left="0" w:right="0"/>
              <w:jc w:val="left"/>
              <w:rPr>
                <w:rFonts w:hint="default" w:ascii="仿宋" w:hAnsi="仿宋" w:eastAsia="仿宋" w:cs="宋体"/>
                <w:color w:val="000000"/>
              </w:rPr>
            </w:pPr>
            <w:r>
              <w:rPr>
                <w:rFonts w:hint="eastAsia" w:ascii="仿宋" w:hAnsi="仿宋" w:eastAsia="仿宋" w:cs="宋体"/>
                <w:color w:val="000000"/>
                <w:lang w:eastAsia="zh-CN"/>
              </w:rPr>
              <w:t>供应</w:t>
            </w:r>
            <w:r>
              <w:rPr>
                <w:rFonts w:hint="eastAsia" w:ascii="仿宋" w:hAnsi="仿宋" w:eastAsia="仿宋" w:cs="宋体"/>
                <w:color w:val="000000"/>
              </w:rPr>
              <w:t>商</w:t>
            </w:r>
            <w:r>
              <w:rPr>
                <w:rFonts w:hint="eastAsia" w:ascii="仿宋" w:hAnsi="仿宋" w:eastAsia="仿宋" w:cs="宋体"/>
                <w:color w:val="000000"/>
                <w:lang w:eastAsia="zh-CN"/>
              </w:rPr>
              <w:t>是否具备</w:t>
            </w:r>
            <w:r>
              <w:rPr>
                <w:rFonts w:hint="eastAsia" w:ascii="仿宋" w:hAnsi="仿宋" w:eastAsia="仿宋" w:cs="宋体"/>
                <w:color w:val="000000"/>
                <w:lang w:val="en-US" w:eastAsia="zh-CN"/>
              </w:rPr>
              <w:t>婚庆服务、</w:t>
            </w:r>
            <w:r>
              <w:rPr>
                <w:rFonts w:hint="eastAsia" w:ascii="仿宋" w:hAnsi="仿宋" w:eastAsia="仿宋" w:cs="宋体"/>
                <w:color w:val="000000"/>
                <w:lang w:eastAsia="zh-CN"/>
              </w:rPr>
              <w:t>广告设计、制作、平面设计、室内外装饰等相关资质及工作业绩等情况资料</w:t>
            </w:r>
            <w:r>
              <w:rPr>
                <w:rFonts w:hint="eastAsia" w:ascii="仿宋" w:hAnsi="仿宋" w:eastAsia="仿宋" w:cs="宋体"/>
                <w:color w:val="000000"/>
              </w:rPr>
              <w:t>。</w:t>
            </w:r>
            <w:r>
              <w:rPr>
                <w:rFonts w:hint="eastAsia" w:ascii="仿宋" w:hAnsi="仿宋" w:eastAsia="仿宋" w:cs="宋体"/>
                <w:b/>
                <w:bCs/>
                <w:color w:val="000000"/>
                <w:lang w:eastAsia="zh-CN"/>
              </w:rPr>
              <w:t>（</w:t>
            </w:r>
            <w:r>
              <w:rPr>
                <w:rFonts w:hint="eastAsia" w:ascii="仿宋" w:hAnsi="仿宋" w:eastAsia="仿宋" w:cs="宋体"/>
                <w:b/>
                <w:bCs/>
                <w:color w:val="000000"/>
                <w:lang w:val="en-US" w:eastAsia="zh-CN"/>
              </w:rPr>
              <w:t>10分</w:t>
            </w:r>
            <w:r>
              <w:rPr>
                <w:rFonts w:hint="eastAsia" w:ascii="仿宋" w:hAnsi="仿宋" w:eastAsia="仿宋" w:cs="宋体"/>
                <w:b/>
                <w:bCs/>
                <w:color w:val="000000"/>
                <w:lang w:eastAsia="zh-CN"/>
              </w:rPr>
              <w:t>）</w:t>
            </w:r>
          </w:p>
          <w:p w14:paraId="52ECD617">
            <w:pPr>
              <w:keepNext w:val="0"/>
              <w:keepLines w:val="0"/>
              <w:widowControl/>
              <w:suppressLineNumbers w:val="0"/>
              <w:spacing w:before="0" w:beforeAutospacing="0" w:after="0" w:afterAutospacing="0" w:line="300" w:lineRule="exact"/>
              <w:ind w:left="0" w:right="0"/>
              <w:jc w:val="left"/>
              <w:rPr>
                <w:rFonts w:hint="default" w:ascii="仿宋" w:hAnsi="仿宋" w:eastAsia="仿宋" w:cs="仿宋"/>
                <w:kern w:val="0"/>
              </w:rPr>
            </w:pPr>
            <w:r>
              <w:rPr>
                <w:rFonts w:hint="eastAsia" w:ascii="仿宋" w:hAnsi="仿宋" w:eastAsia="仿宋" w:cs="宋体"/>
                <w:color w:val="000000"/>
              </w:rPr>
              <w:t>（注：投标时提供以上证明文件复印件加盖公章。）</w:t>
            </w:r>
          </w:p>
        </w:tc>
        <w:tc>
          <w:tcPr>
            <w:tcW w:w="671" w:type="dxa"/>
            <w:shd w:val="clear" w:color="000000" w:fill="FFFFFF"/>
            <w:vAlign w:val="top"/>
          </w:tcPr>
          <w:p w14:paraId="39A8BF84">
            <w:pPr>
              <w:keepNext w:val="0"/>
              <w:keepLines w:val="0"/>
              <w:widowControl/>
              <w:suppressLineNumbers w:val="0"/>
              <w:spacing w:before="0" w:beforeAutospacing="0" w:after="0" w:afterAutospacing="0" w:line="240" w:lineRule="exact"/>
              <w:ind w:left="0" w:right="0" w:firstLine="180" w:firstLineChars="100"/>
              <w:rPr>
                <w:rFonts w:hint="default" w:ascii="仿宋" w:hAnsi="仿宋" w:eastAsia="仿宋" w:cs="仿宋"/>
                <w:kern w:val="0"/>
                <w:sz w:val="18"/>
                <w:szCs w:val="18"/>
              </w:rPr>
            </w:pPr>
          </w:p>
        </w:tc>
      </w:tr>
      <w:tr w14:paraId="52439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5" w:hRule="atLeast"/>
        </w:trPr>
        <w:tc>
          <w:tcPr>
            <w:tcW w:w="1480" w:type="dxa"/>
            <w:shd w:val="clear" w:color="auto" w:fill="auto"/>
            <w:vAlign w:val="center"/>
          </w:tcPr>
          <w:p w14:paraId="619D91D7">
            <w:pPr>
              <w:keepNext w:val="0"/>
              <w:keepLines w:val="0"/>
              <w:widowControl/>
              <w:suppressLineNumbers w:val="0"/>
              <w:spacing w:before="0" w:beforeAutospacing="0" w:after="0" w:afterAutospacing="0" w:line="300" w:lineRule="exact"/>
              <w:ind w:left="-2" w:leftChars="-1" w:right="0"/>
              <w:jc w:val="center"/>
              <w:rPr>
                <w:rFonts w:hint="eastAsia" w:ascii="仿宋" w:hAnsi="仿宋" w:eastAsia="仿宋" w:cs="仿宋"/>
                <w:kern w:val="0"/>
              </w:rPr>
            </w:pPr>
            <w:r>
              <w:rPr>
                <w:rFonts w:hint="eastAsia" w:ascii="仿宋" w:hAnsi="仿宋" w:eastAsia="仿宋" w:cs="仿宋"/>
                <w:kern w:val="0"/>
              </w:rPr>
              <w:t>价格评分</w:t>
            </w:r>
          </w:p>
          <w:p w14:paraId="15A70413">
            <w:pPr>
              <w:keepNext w:val="0"/>
              <w:keepLines w:val="0"/>
              <w:widowControl/>
              <w:suppressLineNumbers w:val="0"/>
              <w:spacing w:before="0" w:beforeAutospacing="0" w:after="0" w:afterAutospacing="0" w:line="300" w:lineRule="exact"/>
              <w:ind w:left="-2" w:leftChars="-1" w:right="0"/>
              <w:jc w:val="center"/>
              <w:rPr>
                <w:rFonts w:hint="default" w:ascii="仿宋" w:hAnsi="仿宋" w:eastAsia="仿宋" w:cs="仿宋"/>
                <w:kern w:val="0"/>
              </w:rPr>
            </w:pPr>
            <w:r>
              <w:rPr>
                <w:rFonts w:hint="eastAsia" w:ascii="仿宋" w:hAnsi="仿宋" w:eastAsia="仿宋" w:cs="仿宋"/>
                <w:kern w:val="0"/>
              </w:rPr>
              <w:t>（</w:t>
            </w:r>
            <w:r>
              <w:rPr>
                <w:rFonts w:hint="eastAsia" w:ascii="仿宋" w:hAnsi="仿宋" w:eastAsia="仿宋" w:cs="仿宋"/>
                <w:kern w:val="0"/>
                <w:lang w:val="en-US" w:eastAsia="zh-CN"/>
              </w:rPr>
              <w:t>3</w:t>
            </w:r>
            <w:r>
              <w:rPr>
                <w:rFonts w:hint="default" w:ascii="仿宋" w:hAnsi="仿宋" w:eastAsia="仿宋" w:cs="仿宋"/>
                <w:kern w:val="0"/>
              </w:rPr>
              <w:t>0</w:t>
            </w:r>
            <w:r>
              <w:rPr>
                <w:rFonts w:hint="eastAsia" w:ascii="仿宋" w:hAnsi="仿宋" w:eastAsia="仿宋" w:cs="仿宋"/>
                <w:kern w:val="0"/>
              </w:rPr>
              <w:t>分）</w:t>
            </w:r>
          </w:p>
        </w:tc>
        <w:tc>
          <w:tcPr>
            <w:tcW w:w="1184" w:type="dxa"/>
            <w:shd w:val="clear" w:color="000000" w:fill="FFFFFF"/>
            <w:vAlign w:val="center"/>
          </w:tcPr>
          <w:p w14:paraId="2F636551">
            <w:pPr>
              <w:keepNext w:val="0"/>
              <w:keepLines w:val="0"/>
              <w:widowControl/>
              <w:suppressLineNumbers w:val="0"/>
              <w:spacing w:before="0" w:beforeAutospacing="0" w:after="0" w:afterAutospacing="0" w:line="300" w:lineRule="exact"/>
              <w:ind w:left="0" w:right="0"/>
              <w:jc w:val="center"/>
              <w:rPr>
                <w:rFonts w:hint="eastAsia" w:ascii="仿宋" w:hAnsi="仿宋" w:eastAsia="仿宋" w:cs="宋体"/>
                <w:color w:val="000000"/>
                <w:lang w:eastAsia="zh-CN"/>
              </w:rPr>
            </w:pPr>
            <w:r>
              <w:rPr>
                <w:rFonts w:hint="eastAsia" w:ascii="仿宋" w:hAnsi="仿宋" w:eastAsia="仿宋" w:cs="宋体"/>
                <w:color w:val="000000"/>
                <w:lang w:eastAsia="zh-CN"/>
              </w:rPr>
              <w:t>报价情况</w:t>
            </w:r>
          </w:p>
        </w:tc>
        <w:tc>
          <w:tcPr>
            <w:tcW w:w="780" w:type="dxa"/>
            <w:shd w:val="clear" w:color="000000" w:fill="FFFFFF"/>
            <w:vAlign w:val="center"/>
          </w:tcPr>
          <w:p w14:paraId="4C255D93">
            <w:pPr>
              <w:keepNext w:val="0"/>
              <w:keepLines w:val="0"/>
              <w:widowControl/>
              <w:suppressLineNumbers w:val="0"/>
              <w:spacing w:before="0" w:beforeAutospacing="0" w:after="0" w:afterAutospacing="0" w:line="300" w:lineRule="exact"/>
              <w:ind w:left="0" w:right="0"/>
              <w:jc w:val="center"/>
              <w:rPr>
                <w:rFonts w:hint="default" w:ascii="仿宋" w:hAnsi="仿宋" w:eastAsia="仿宋" w:cs="仿宋"/>
                <w:kern w:val="0"/>
              </w:rPr>
            </w:pPr>
            <w:r>
              <w:rPr>
                <w:rFonts w:hint="eastAsia" w:ascii="仿宋" w:hAnsi="仿宋" w:eastAsia="仿宋" w:cs="仿宋"/>
                <w:kern w:val="0"/>
                <w:lang w:val="en-US" w:eastAsia="zh-CN"/>
              </w:rPr>
              <w:t>3</w:t>
            </w:r>
            <w:r>
              <w:rPr>
                <w:rFonts w:hint="default" w:ascii="仿宋" w:hAnsi="仿宋" w:eastAsia="仿宋" w:cs="仿宋"/>
                <w:kern w:val="0"/>
              </w:rPr>
              <w:t>0</w:t>
            </w:r>
          </w:p>
        </w:tc>
        <w:tc>
          <w:tcPr>
            <w:tcW w:w="5142" w:type="dxa"/>
            <w:shd w:val="clear" w:color="000000" w:fill="FFFFFF"/>
            <w:vAlign w:val="center"/>
          </w:tcPr>
          <w:p w14:paraId="41EE3AB3">
            <w:pPr>
              <w:keepNext w:val="0"/>
              <w:keepLines w:val="0"/>
              <w:widowControl/>
              <w:suppressLineNumbers w:val="0"/>
              <w:autoSpaceDE w:val="0"/>
              <w:autoSpaceDN w:val="0"/>
              <w:adjustRightInd w:val="0"/>
              <w:spacing w:before="0" w:beforeAutospacing="0" w:after="0" w:afterAutospacing="0"/>
              <w:ind w:left="0" w:right="0"/>
              <w:jc w:val="left"/>
              <w:rPr>
                <w:rFonts w:hint="default" w:ascii="仿宋" w:hAnsi="仿宋" w:eastAsia="仿宋" w:cs="宋体"/>
                <w:color w:val="000000"/>
              </w:rPr>
            </w:pPr>
            <w:r>
              <w:rPr>
                <w:rFonts w:hint="eastAsia" w:ascii="仿宋" w:hAnsi="仿宋" w:eastAsia="仿宋" w:cs="宋体"/>
                <w:color w:val="000000"/>
              </w:rPr>
              <w:t>所有通过资格性符合性检查且进入最后评审的投标人的总报价中，最低价格为基准价格；等于基准数量为</w:t>
            </w:r>
            <w:r>
              <w:rPr>
                <w:rFonts w:hint="eastAsia" w:ascii="仿宋" w:hAnsi="仿宋" w:eastAsia="仿宋" w:cs="宋体"/>
                <w:color w:val="000000"/>
                <w:lang w:val="en-US" w:eastAsia="zh-CN"/>
              </w:rPr>
              <w:t>3</w:t>
            </w:r>
            <w:r>
              <w:rPr>
                <w:rFonts w:hint="default" w:ascii="仿宋" w:hAnsi="仿宋" w:eastAsia="仿宋" w:cs="宋体"/>
                <w:color w:val="000000"/>
              </w:rPr>
              <w:t>0</w:t>
            </w:r>
            <w:r>
              <w:rPr>
                <w:rFonts w:hint="eastAsia" w:ascii="仿宋" w:hAnsi="仿宋" w:eastAsia="仿宋" w:cs="宋体"/>
                <w:color w:val="000000"/>
              </w:rPr>
              <w:t>分；其他供应商的价格分统一按照下列公式计算：</w:t>
            </w:r>
            <w:r>
              <w:rPr>
                <w:rFonts w:hint="default" w:ascii="仿宋" w:hAnsi="仿宋" w:eastAsia="仿宋" w:cs="宋体"/>
                <w:color w:val="000000"/>
              </w:rPr>
              <w:t xml:space="preserve"> </w:t>
            </w:r>
          </w:p>
          <w:p w14:paraId="3C21ED53">
            <w:pPr>
              <w:keepNext w:val="0"/>
              <w:keepLines w:val="0"/>
              <w:widowControl/>
              <w:suppressLineNumbers w:val="0"/>
              <w:spacing w:before="0" w:beforeAutospacing="0" w:after="0" w:afterAutospacing="0"/>
              <w:ind w:left="0" w:right="0"/>
              <w:jc w:val="left"/>
              <w:rPr>
                <w:rFonts w:hint="default" w:ascii="仿宋" w:hAnsi="仿宋" w:eastAsia="仿宋" w:cs="宋体"/>
                <w:color w:val="000000"/>
              </w:rPr>
            </w:pPr>
            <w:r>
              <w:rPr>
                <w:rFonts w:hint="eastAsia" w:ascii="仿宋" w:hAnsi="仿宋" w:eastAsia="仿宋" w:cs="宋体"/>
                <w:color w:val="000000"/>
              </w:rPr>
              <w:t>综合报价得分＝（评标基准价</w:t>
            </w:r>
            <w:r>
              <w:rPr>
                <w:rFonts w:hint="default" w:ascii="仿宋" w:hAnsi="仿宋" w:eastAsia="仿宋" w:cs="宋体"/>
                <w:color w:val="000000"/>
              </w:rPr>
              <w:t>/</w:t>
            </w:r>
            <w:r>
              <w:rPr>
                <w:rFonts w:hint="eastAsia" w:ascii="仿宋" w:hAnsi="仿宋" w:eastAsia="仿宋" w:cs="宋体"/>
                <w:color w:val="000000"/>
              </w:rPr>
              <w:t>投标报价）×</w:t>
            </w:r>
            <w:r>
              <w:rPr>
                <w:rFonts w:hint="eastAsia" w:ascii="仿宋" w:hAnsi="仿宋" w:eastAsia="仿宋" w:cs="宋体"/>
                <w:color w:val="000000"/>
                <w:lang w:val="en-US" w:eastAsia="zh-CN"/>
              </w:rPr>
              <w:t>3</w:t>
            </w:r>
            <w:r>
              <w:rPr>
                <w:rFonts w:hint="default" w:ascii="仿宋" w:hAnsi="仿宋" w:eastAsia="仿宋" w:cs="宋体"/>
                <w:color w:val="000000"/>
              </w:rPr>
              <w:t>0%</w:t>
            </w:r>
            <w:r>
              <w:rPr>
                <w:rFonts w:hint="eastAsia" w:ascii="仿宋" w:hAnsi="仿宋" w:eastAsia="仿宋" w:cs="宋体"/>
                <w:color w:val="000000"/>
              </w:rPr>
              <w:t>×</w:t>
            </w:r>
            <w:r>
              <w:rPr>
                <w:rFonts w:hint="default" w:ascii="仿宋" w:hAnsi="仿宋" w:eastAsia="仿宋" w:cs="宋体"/>
                <w:color w:val="000000"/>
              </w:rPr>
              <w:t>100</w:t>
            </w:r>
            <w:r>
              <w:rPr>
                <w:rFonts w:hint="eastAsia" w:ascii="仿宋" w:hAnsi="仿宋" w:eastAsia="仿宋" w:cs="宋体"/>
                <w:color w:val="000000"/>
              </w:rPr>
              <w:t>。</w:t>
            </w:r>
          </w:p>
        </w:tc>
        <w:tc>
          <w:tcPr>
            <w:tcW w:w="671" w:type="dxa"/>
            <w:shd w:val="clear" w:color="000000" w:fill="FFFFFF"/>
            <w:vAlign w:val="top"/>
          </w:tcPr>
          <w:p w14:paraId="37BFADBE">
            <w:pPr>
              <w:keepNext w:val="0"/>
              <w:keepLines w:val="0"/>
              <w:widowControl/>
              <w:suppressLineNumbers w:val="0"/>
              <w:spacing w:before="0" w:beforeAutospacing="0" w:after="0" w:afterAutospacing="0" w:line="240" w:lineRule="exact"/>
              <w:ind w:left="0" w:right="0"/>
              <w:rPr>
                <w:rFonts w:hint="eastAsia" w:ascii="仿宋" w:hAnsi="仿宋" w:eastAsia="仿宋" w:cs="仿宋"/>
                <w:kern w:val="0"/>
                <w:sz w:val="18"/>
                <w:szCs w:val="18"/>
              </w:rPr>
            </w:pPr>
          </w:p>
        </w:tc>
      </w:tr>
      <w:tr w14:paraId="14C4E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8586" w:type="dxa"/>
            <w:gridSpan w:val="4"/>
            <w:shd w:val="clear" w:color="auto" w:fill="auto"/>
            <w:vAlign w:val="center"/>
          </w:tcPr>
          <w:p w14:paraId="5EA5E329">
            <w:pPr>
              <w:keepNext w:val="0"/>
              <w:keepLines w:val="0"/>
              <w:widowControl/>
              <w:suppressLineNumbers w:val="0"/>
              <w:autoSpaceDE w:val="0"/>
              <w:autoSpaceDN w:val="0"/>
              <w:adjustRightInd w:val="0"/>
              <w:spacing w:before="0" w:beforeAutospacing="0" w:after="0" w:afterAutospacing="0"/>
              <w:ind w:left="0" w:right="0"/>
              <w:jc w:val="center"/>
              <w:rPr>
                <w:rFonts w:hint="eastAsia" w:ascii="仿宋" w:hAnsi="仿宋" w:eastAsia="仿宋" w:cs="宋体"/>
                <w:color w:val="000000"/>
              </w:rPr>
            </w:pPr>
            <w:r>
              <w:rPr>
                <w:rFonts w:hint="eastAsia" w:ascii="仿宋" w:hAnsi="仿宋" w:eastAsia="仿宋" w:cs="宋体"/>
                <w:color w:val="000000"/>
              </w:rPr>
              <w:t>合计</w:t>
            </w:r>
          </w:p>
        </w:tc>
        <w:tc>
          <w:tcPr>
            <w:tcW w:w="671" w:type="dxa"/>
            <w:shd w:val="clear" w:color="000000" w:fill="FFFFFF"/>
            <w:vAlign w:val="center"/>
          </w:tcPr>
          <w:p w14:paraId="53E060E2">
            <w:pPr>
              <w:keepNext w:val="0"/>
              <w:keepLines w:val="0"/>
              <w:widowControl/>
              <w:suppressLineNumbers w:val="0"/>
              <w:spacing w:before="0" w:beforeAutospacing="0" w:after="0" w:afterAutospacing="0" w:line="240" w:lineRule="exact"/>
              <w:ind w:left="0" w:right="0"/>
              <w:rPr>
                <w:rFonts w:hint="default" w:ascii="仿宋" w:hAnsi="仿宋" w:eastAsia="仿宋" w:cs="仿宋"/>
                <w:kern w:val="0"/>
                <w:sz w:val="18"/>
                <w:szCs w:val="18"/>
              </w:rPr>
            </w:pPr>
          </w:p>
        </w:tc>
      </w:tr>
    </w:tbl>
    <w:p w14:paraId="235FFD55">
      <w:pPr>
        <w:ind w:left="-123" w:leftChars="-257" w:hanging="417" w:hangingChars="149"/>
      </w:pPr>
      <w:r>
        <w:rPr>
          <w:rFonts w:hint="eastAsia" w:ascii="楷体" w:hAnsi="楷体" w:eastAsia="楷体" w:cs="宋体"/>
          <w:kern w:val="0"/>
          <w:sz w:val="28"/>
          <w:szCs w:val="28"/>
        </w:rPr>
        <w:t>评审人</w:t>
      </w:r>
      <w:r>
        <w:rPr>
          <w:rFonts w:ascii="楷体" w:hAnsi="楷体" w:eastAsia="楷体" w:cs="宋体"/>
          <w:kern w:val="0"/>
          <w:sz w:val="28"/>
          <w:szCs w:val="28"/>
        </w:rPr>
        <w:t xml:space="preserve">:                          </w:t>
      </w:r>
      <w:r>
        <w:rPr>
          <w:rFonts w:hint="eastAsia" w:ascii="楷体" w:hAnsi="楷体" w:eastAsia="楷体" w:cs="宋体"/>
          <w:kern w:val="0"/>
          <w:sz w:val="28"/>
          <w:szCs w:val="28"/>
        </w:rPr>
        <w:t>评审时间</w:t>
      </w:r>
      <w:r>
        <w:rPr>
          <w:rFonts w:ascii="楷体" w:hAnsi="楷体" w:eastAsia="楷体" w:cs="宋体"/>
          <w:kern w:val="0"/>
          <w:sz w:val="28"/>
          <w:szCs w:val="28"/>
        </w:rPr>
        <w:t xml:space="preserve">:      </w:t>
      </w:r>
      <w:r>
        <w:rPr>
          <w:rFonts w:hint="eastAsia" w:ascii="楷体" w:hAnsi="楷体" w:eastAsia="楷体" w:cs="宋体"/>
          <w:kern w:val="0"/>
          <w:sz w:val="28"/>
          <w:szCs w:val="28"/>
        </w:rPr>
        <w:t>年</w:t>
      </w:r>
      <w:r>
        <w:rPr>
          <w:rFonts w:ascii="楷体" w:hAnsi="楷体" w:eastAsia="楷体" w:cs="宋体"/>
          <w:kern w:val="0"/>
          <w:sz w:val="28"/>
          <w:szCs w:val="28"/>
        </w:rPr>
        <w:t xml:space="preserve">    </w:t>
      </w:r>
      <w:r>
        <w:rPr>
          <w:rFonts w:hint="eastAsia" w:ascii="楷体" w:hAnsi="楷体" w:eastAsia="楷体" w:cs="宋体"/>
          <w:kern w:val="0"/>
          <w:sz w:val="28"/>
          <w:szCs w:val="28"/>
        </w:rPr>
        <w:t>月</w:t>
      </w:r>
      <w:r>
        <w:rPr>
          <w:rFonts w:ascii="楷体" w:hAnsi="楷体" w:eastAsia="楷体" w:cs="宋体"/>
          <w:kern w:val="0"/>
          <w:sz w:val="28"/>
          <w:szCs w:val="28"/>
        </w:rPr>
        <w:t xml:space="preserve">    </w:t>
      </w:r>
      <w:r>
        <w:rPr>
          <w:rFonts w:hint="eastAsia" w:ascii="楷体" w:hAnsi="楷体" w:eastAsia="楷体" w:cs="宋体"/>
          <w:kern w:val="0"/>
          <w:sz w:val="28"/>
          <w:szCs w:val="28"/>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19D565"/>
    <w:multiLevelType w:val="multilevel"/>
    <w:tmpl w:val="D619D565"/>
    <w:lvl w:ilvl="0" w:tentative="0">
      <w:start w:val="1"/>
      <w:numFmt w:val="decimal"/>
      <w:suff w:val="nothing"/>
      <w:lvlText w:val="（%1）"/>
      <w:lvlJc w:val="left"/>
      <w:rPr>
        <w:rFonts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5"/>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mMGFlOTRiZDE3NTY2YzU2ZjM2MjMxNGVmNTRiMjIifQ=="/>
  </w:docVars>
  <w:rsids>
    <w:rsidRoot w:val="007B3EE8"/>
    <w:rsid w:val="00180EB3"/>
    <w:rsid w:val="001F363F"/>
    <w:rsid w:val="002544D2"/>
    <w:rsid w:val="002C641D"/>
    <w:rsid w:val="003439DC"/>
    <w:rsid w:val="003748C5"/>
    <w:rsid w:val="003B6CFD"/>
    <w:rsid w:val="007B3EE8"/>
    <w:rsid w:val="007C6405"/>
    <w:rsid w:val="007C6A00"/>
    <w:rsid w:val="00950724"/>
    <w:rsid w:val="00AD3344"/>
    <w:rsid w:val="00B075E1"/>
    <w:rsid w:val="00B2398E"/>
    <w:rsid w:val="00BA5570"/>
    <w:rsid w:val="00C14540"/>
    <w:rsid w:val="00E06D66"/>
    <w:rsid w:val="00E249F7"/>
    <w:rsid w:val="00E971C8"/>
    <w:rsid w:val="00EB6977"/>
    <w:rsid w:val="00EB7CAE"/>
    <w:rsid w:val="01816532"/>
    <w:rsid w:val="02A67649"/>
    <w:rsid w:val="06C22B31"/>
    <w:rsid w:val="094C10C7"/>
    <w:rsid w:val="0C69456A"/>
    <w:rsid w:val="159454D0"/>
    <w:rsid w:val="17552631"/>
    <w:rsid w:val="1F8E2712"/>
    <w:rsid w:val="23AC14C4"/>
    <w:rsid w:val="274F5CD3"/>
    <w:rsid w:val="2AC0619F"/>
    <w:rsid w:val="2CC53D3E"/>
    <w:rsid w:val="2D974B3E"/>
    <w:rsid w:val="33181B06"/>
    <w:rsid w:val="441F08C9"/>
    <w:rsid w:val="4BF84454"/>
    <w:rsid w:val="4FAE3B00"/>
    <w:rsid w:val="52C9677F"/>
    <w:rsid w:val="58A7245D"/>
    <w:rsid w:val="58BB1C2D"/>
    <w:rsid w:val="743D0FA1"/>
    <w:rsid w:val="7E6E54F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Normal (Web)"/>
    <w:basedOn w:val="1"/>
    <w:qFormat/>
    <w:uiPriority w:val="0"/>
    <w:rPr>
      <w:sz w:val="24"/>
    </w:rPr>
  </w:style>
  <w:style w:type="paragraph" w:customStyle="1" w:styleId="5">
    <w:name w:val="网站"/>
    <w:basedOn w:val="1"/>
    <w:qFormat/>
    <w:uiPriority w:val="0"/>
    <w:pPr>
      <w:spacing w:line="560" w:lineRule="exact"/>
    </w:pPr>
    <w:rPr>
      <w:rFonts w:eastAsia="微软雅黑"/>
      <w:kern w:val="0"/>
      <w:sz w:val="24"/>
    </w:rPr>
  </w:style>
  <w:style w:type="paragraph" w:customStyle="1" w:styleId="6">
    <w:name w:val="标题top"/>
    <w:basedOn w:val="1"/>
    <w:qFormat/>
    <w:uiPriority w:val="0"/>
    <w:pPr>
      <w:jc w:val="center"/>
    </w:pPr>
    <w:rPr>
      <w:rFonts w:ascii="方正小标宋简体" w:eastAsia="方正小标宋简体" w:cs="宋体"/>
      <w:sz w:val="44"/>
      <w:szCs w:val="20"/>
    </w:rPr>
  </w:style>
  <w:style w:type="paragraph" w:customStyle="1" w:styleId="7">
    <w:name w:val="List Paragraph1"/>
    <w:basedOn w:val="1"/>
    <w:qFormat/>
    <w:uiPriority w:val="0"/>
    <w:pPr>
      <w:ind w:firstLine="420" w:firstLineChars="200"/>
    </w:pPr>
    <w:rPr>
      <w:rFonts w:ascii="Calibri" w:hAnsi="Calibri"/>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620</Words>
  <Characters>658</Characters>
  <Lines>12</Lines>
  <Paragraphs>3</Paragraphs>
  <TotalTime>0</TotalTime>
  <ScaleCrop>false</ScaleCrop>
  <LinksUpToDate>false</LinksUpToDate>
  <CharactersWithSpaces>699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2022-06-08T07:42:00Z</dcterms:created>
  <dc:creator>市民政局</dc:creator>
  <cp:lastModifiedBy>WPS_1753073345</cp:lastModifiedBy>
  <cp:lastPrinted>2025-07-18T00:40:00Z</cp:lastPrinted>
  <dcterms:modified xsi:type="dcterms:W3CDTF">2025-07-31T06:49:09Z</dcterms:modified>
  <dc:title>综合评分表</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AE6C39842EA64DA7981960FC10299830</vt:lpwstr>
  </property>
  <property fmtid="{D5CDD505-2E9C-101B-9397-08002B2CF9AE}" pid="4" name="ribbonExt">
    <vt:lpwstr>{"WPSExtOfficeTab":{"OnGetEnabled":false,"OnGetVisible":false}}</vt:lpwstr>
  </property>
  <property fmtid="{D5CDD505-2E9C-101B-9397-08002B2CF9AE}" pid="5" name="KSOTemplateDocerSaveRecord">
    <vt:lpwstr>eyJoZGlkIjoiODY3YjM1NTY2NWY1ZWJiN2M3YTFmMTdiZGM2MzA4MGYiLCJ1c2VySWQiOiIxNzIxNjgxMjgyIn0=</vt:lpwstr>
  </property>
</Properties>
</file>