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F5B3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2C35C3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评分细则</w:t>
      </w:r>
    </w:p>
    <w:bookmarkEnd w:id="0"/>
    <w:tbl>
      <w:tblPr>
        <w:tblStyle w:val="3"/>
        <w:tblW w:w="882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63"/>
        <w:gridCol w:w="6270"/>
      </w:tblGrid>
      <w:tr w14:paraId="2D8A0C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0A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权重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60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评分项目</w:t>
            </w:r>
          </w:p>
        </w:tc>
        <w:tc>
          <w:tcPr>
            <w:tcW w:w="6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57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</w:rPr>
              <w:t>评分要求</w:t>
            </w:r>
          </w:p>
        </w:tc>
      </w:tr>
      <w:tr w14:paraId="4E0EF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2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E5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技术响应性评分</w:t>
            </w:r>
          </w:p>
          <w:p w14:paraId="497C1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（30分）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26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方案切</w:t>
            </w:r>
          </w:p>
          <w:p w14:paraId="2D14D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合度</w:t>
            </w:r>
          </w:p>
          <w:p w14:paraId="3935B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（10分）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E4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1.能准确理解项目目标，方案切合项目要求，内容详实，准确满足采购需求，得8-10分；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2.能较为准确理解项目目标，方案较切合项目要求，内容较详实，较满足采购需求，得5-7分；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3.基本理解项目目标，方案基本切合项目要求，具有基本内容，基本满足采购需求，得1-4分；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4.方案未切合项目要求，没有提及相关内容，得0分。</w:t>
            </w:r>
          </w:p>
        </w:tc>
      </w:tr>
      <w:tr w14:paraId="387357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2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D9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93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实施方案</w:t>
            </w:r>
          </w:p>
          <w:p w14:paraId="3651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质量</w:t>
            </w:r>
          </w:p>
          <w:p w14:paraId="43ED5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AD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1.方案有详细的实施计划，包含项目要求的具体内容，可操作性强，设计严谨，能很好满足需求，得16-20分；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2.方案有较详细的实施计划，包含项目要求的具体内容，可操作性较强，设计科学，能较好满足需求，得11-15分；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3.方案有基本的实施计划、包含项目要求的具体内容，可操作性一般，基本满足需求，得1-10分；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4.方案没有体现项目要求的全部具体内容，不具备可操作性，不能满足需求，得0分。</w:t>
            </w:r>
          </w:p>
        </w:tc>
      </w:tr>
      <w:tr w14:paraId="2E6EF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2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86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商务响应性评分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（40分）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77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综合实力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6F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报价人服务团队中持有护理员培训资格证的，每个人员得1分，最高得20分；</w:t>
            </w:r>
          </w:p>
          <w:p w14:paraId="75591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注：报价人需在报价书中提供相关证明材料。</w:t>
            </w:r>
          </w:p>
        </w:tc>
      </w:tr>
      <w:tr w14:paraId="44175D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2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30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95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相关类似</w:t>
            </w:r>
          </w:p>
          <w:p w14:paraId="5F68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项目经验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（20分）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C9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自2022年1月1日以来（以合同签订时间为准），报价人有承接护理员培训项目经验的，每承接1个类似项目得10分，最高得20分。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注：报价人需在报价书中提供相关证明材料。</w:t>
            </w:r>
          </w:p>
        </w:tc>
      </w:tr>
      <w:tr w14:paraId="1A3D05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C4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  <w:t>价格合理性评分</w:t>
            </w:r>
          </w:p>
          <w:p w14:paraId="29E0C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hr-HR" w:eastAsia="zh-CN" w:bidi="ar-SA"/>
              </w:rPr>
              <w:t>（30分）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52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评估报价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（30分）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2D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所有通过资格性符合性检查且进入最后评审的投标人的总报价中，最低价格为基准价格，等于基准数量为30分，其他供应商的价格分统一按照下列公式计算：</w:t>
            </w:r>
          </w:p>
          <w:p w14:paraId="33ADA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综合报价得分＝（评标基准价÷投标报价）×30%×100</w:t>
            </w:r>
          </w:p>
        </w:tc>
      </w:tr>
    </w:tbl>
    <w:p w14:paraId="38B0DC3B"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6DF4"/>
    <w:rsid w:val="4EB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2025-05-13T07:06:00Z</dcterms:created>
  <dc:creator>MZ</dc:creator>
  <cp:lastModifiedBy>MZ</cp:lastModifiedBy>
  <dcterms:modified xsi:type="dcterms:W3CDTF">2025-05-13T07:35:56Z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E75E8D71A9B04A869883EE63F7A50B6C_11</vt:lpwstr>
  </property>
  <property fmtid="{D5CDD505-2E9C-101B-9397-08002B2CF9AE}" pid="4" name="KSOTemplateDocerSaveRecord">
    <vt:lpwstr>eyJoZGlkIjoiNTQ1NTNhMDAzZThiMDBlODA1ZjU0NTQ3NTA0NmQxMDEifQ==</vt:lpwstr>
  </property>
</Properties>
</file>