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ind w:left="0" w:leftChars="0" w:firstLine="0" w:firstLineChars="0"/>
        <w:jc w:val="both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附件2</w:t>
      </w:r>
    </w:p>
    <w:p>
      <w:pPr>
        <w:pStyle w:val="11"/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江门市中小企业数字化转型城市试点</w:t>
      </w:r>
    </w:p>
    <w:p>
      <w:pPr>
        <w:pStyle w:val="11"/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数字化改造项目申报表</w:t>
      </w:r>
    </w:p>
    <w:p>
      <w:pPr>
        <w:pStyle w:val="9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375" w:lineRule="atLeast"/>
        <w:ind w:firstLine="320" w:firstLineChars="100"/>
        <w:jc w:val="both"/>
        <w:rPr>
          <w:rFonts w:hint="eastAsia" w:ascii="Times New Roman" w:hAnsi="Times New Roman" w:eastAsia="仿宋"/>
          <w:sz w:val="32"/>
          <w:szCs w:val="32"/>
          <w:lang w:val="zh-CN"/>
        </w:rPr>
      </w:pPr>
    </w:p>
    <w:p>
      <w:pPr>
        <w:pStyle w:val="9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375" w:lineRule="atLeast"/>
        <w:ind w:firstLine="320" w:firstLineChars="100"/>
        <w:jc w:val="both"/>
        <w:rPr>
          <w:rFonts w:hint="eastAsia" w:ascii="Times New Roman" w:hAnsi="Times New Roman" w:eastAsia="仿宋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/>
          <w:sz w:val="32"/>
          <w:szCs w:val="32"/>
          <w:lang w:val="zh-CN"/>
        </w:rPr>
        <w:t>企业名称：</w:t>
      </w:r>
      <w:r>
        <w:rPr>
          <w:rFonts w:hint="eastAsia" w:ascii="Times New Roman" w:hAnsi="Times New Roman" w:eastAsia="仿宋"/>
          <w:sz w:val="32"/>
          <w:szCs w:val="32"/>
          <w:u w:val="single"/>
          <w:lang w:val="zh-CN"/>
        </w:rPr>
        <w:t xml:space="preserve"> </w:t>
      </w:r>
      <w:r>
        <w:rPr>
          <w:rFonts w:ascii="Times New Roman" w:hAnsi="Times New Roman" w:eastAsia="仿宋"/>
          <w:sz w:val="32"/>
          <w:szCs w:val="32"/>
          <w:u w:val="single"/>
          <w:lang w:val="zh-CN"/>
        </w:rPr>
        <w:t xml:space="preserve">                             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 xml:space="preserve"> </w:t>
      </w:r>
    </w:p>
    <w:p>
      <w:pPr>
        <w:spacing w:line="360" w:lineRule="auto"/>
        <w:ind w:firstLine="320" w:firstLineChars="100"/>
        <w:rPr>
          <w:rFonts w:ascii="Times New Roman" w:hAnsi="Times New Roman" w:eastAsia="仿宋"/>
          <w:sz w:val="32"/>
          <w:szCs w:val="32"/>
          <w:u w:val="single"/>
          <w:lang w:val="zh-CN"/>
        </w:rPr>
      </w:pPr>
      <w:r>
        <w:rPr>
          <w:rFonts w:hint="eastAsia" w:ascii="Times New Roman" w:hAnsi="Times New Roman" w:eastAsia="仿宋"/>
          <w:sz w:val="32"/>
          <w:szCs w:val="32"/>
          <w:lang w:val="zh-CN"/>
        </w:rPr>
        <w:t>所属行业：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120" w:firstLineChars="400"/>
        <w:jc w:val="left"/>
        <w:textAlignment w:val="bottom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sym w:font="Wingdings 2" w:char="00A3"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五金及不锈钢制品行业  </w:t>
      </w:r>
      <w:r>
        <w:rPr>
          <w:rFonts w:hint="eastAsia" w:ascii="仿宋_GB2312" w:hAnsi="仿宋_GB2312" w:eastAsia="仿宋_GB2312" w:cs="仿宋_GB2312"/>
          <w:sz w:val="28"/>
          <w:szCs w:val="28"/>
        </w:rPr>
        <w:sym w:font="Wingdings 2" w:char="00A3"/>
      </w:r>
      <w:r>
        <w:rPr>
          <w:rFonts w:hint="eastAsia" w:ascii="仿宋_GB2312" w:hAnsi="仿宋_GB2312" w:eastAsia="仿宋_GB2312" w:cs="仿宋_GB2312"/>
          <w:sz w:val="28"/>
          <w:szCs w:val="28"/>
        </w:rPr>
        <w:t>摩托车及零配件制造业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120" w:firstLineChars="400"/>
        <w:jc w:val="left"/>
        <w:textAlignment w:val="bottom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sym w:font="Wingdings 2" w:char="00A3"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造纸及纸制品业        </w:t>
      </w:r>
      <w:r>
        <w:rPr>
          <w:rFonts w:hint="eastAsia" w:ascii="仿宋_GB2312" w:hAnsi="仿宋_GB2312" w:eastAsia="仿宋_GB2312" w:cs="仿宋_GB2312"/>
          <w:sz w:val="28"/>
          <w:szCs w:val="28"/>
        </w:rPr>
        <w:sym w:font="Wingdings 2" w:char="00A3"/>
      </w:r>
      <w:r>
        <w:rPr>
          <w:rFonts w:hint="eastAsia" w:ascii="仿宋_GB2312" w:hAnsi="仿宋_GB2312" w:eastAsia="仿宋_GB2312" w:cs="仿宋_GB2312"/>
          <w:sz w:val="28"/>
          <w:szCs w:val="28"/>
        </w:rPr>
        <w:t>新一代电子信息产业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120" w:firstLineChars="400"/>
        <w:jc w:val="left"/>
        <w:textAlignment w:val="bottom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sym w:font="Wingdings 2" w:char="00A3"/>
      </w:r>
      <w:r>
        <w:rPr>
          <w:rFonts w:hint="eastAsia" w:ascii="仿宋_GB2312" w:hAnsi="仿宋_GB2312" w:eastAsia="仿宋_GB2312" w:cs="仿宋_GB2312"/>
          <w:sz w:val="28"/>
          <w:szCs w:val="28"/>
        </w:rPr>
        <w:t>小家电制造业</w:t>
      </w:r>
    </w:p>
    <w:p>
      <w:pPr>
        <w:spacing w:line="240" w:lineRule="auto"/>
        <w:ind w:firstLine="281" w:firstLineChars="88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  <w:lang w:val="zh-CN"/>
        </w:rPr>
        <w:t>联</w:t>
      </w:r>
      <w:r>
        <w:rPr>
          <w:rFonts w:ascii="Times New Roman" w:hAnsi="Times New Roman" w:eastAsia="仿宋"/>
          <w:sz w:val="32"/>
          <w:szCs w:val="32"/>
        </w:rPr>
        <w:t xml:space="preserve"> </w:t>
      </w:r>
      <w:r>
        <w:rPr>
          <w:rFonts w:hint="eastAsia" w:ascii="Times New Roman" w:hAnsi="Times New Roman" w:eastAsia="仿宋"/>
          <w:sz w:val="32"/>
          <w:szCs w:val="32"/>
          <w:lang w:val="zh-CN"/>
        </w:rPr>
        <w:t>系</w:t>
      </w:r>
      <w:r>
        <w:rPr>
          <w:rFonts w:ascii="Times New Roman" w:hAnsi="Times New Roman" w:eastAsia="仿宋"/>
          <w:sz w:val="32"/>
          <w:szCs w:val="32"/>
        </w:rPr>
        <w:t xml:space="preserve"> </w:t>
      </w:r>
      <w:r>
        <w:rPr>
          <w:rFonts w:hint="eastAsia" w:ascii="Times New Roman" w:hAnsi="Times New Roman" w:eastAsia="仿宋"/>
          <w:sz w:val="32"/>
          <w:szCs w:val="32"/>
          <w:lang w:val="zh-CN"/>
        </w:rPr>
        <w:t>人：</w:t>
      </w:r>
      <w:r>
        <w:rPr>
          <w:rFonts w:hint="eastAsia" w:ascii="Times New Roman" w:hAnsi="Times New Roman" w:eastAsia="仿宋"/>
          <w:sz w:val="32"/>
          <w:szCs w:val="32"/>
          <w:u w:val="single"/>
          <w:lang w:val="zh-CN"/>
        </w:rPr>
        <w:t xml:space="preserve"> </w:t>
      </w:r>
      <w:r>
        <w:rPr>
          <w:rFonts w:ascii="Times New Roman" w:hAnsi="Times New Roman" w:eastAsia="仿宋"/>
          <w:sz w:val="32"/>
          <w:szCs w:val="32"/>
          <w:u w:val="single"/>
          <w:lang w:val="zh-CN"/>
        </w:rPr>
        <w:t xml:space="preserve">                                  </w:t>
      </w:r>
    </w:p>
    <w:p>
      <w:pPr>
        <w:widowControl w:val="0"/>
        <w:spacing w:after="0" w:line="360" w:lineRule="auto"/>
        <w:ind w:firstLine="281" w:firstLineChars="88"/>
        <w:jc w:val="both"/>
        <w:rPr>
          <w:rFonts w:ascii="Times New Roman" w:hAnsi="Times New Roman" w:eastAsia="仿宋" w:cs="Times New Roman"/>
          <w:kern w:val="2"/>
          <w:sz w:val="32"/>
          <w:szCs w:val="32"/>
          <w:u w:val="single"/>
          <w:lang w:val="zh-CN" w:eastAsia="zh-CN" w:bidi="ar-SA"/>
        </w:rPr>
      </w:pP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zh-CN" w:eastAsia="zh-CN" w:bidi="ar-SA"/>
        </w:rPr>
        <w:t>联系电话：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  <w:u w:val="single"/>
          <w:lang w:val="zh-CN" w:eastAsia="zh-CN" w:bidi="ar-SA"/>
        </w:rPr>
        <w:t xml:space="preserve"> </w:t>
      </w:r>
      <w:r>
        <w:rPr>
          <w:rFonts w:ascii="Times New Roman" w:hAnsi="Times New Roman" w:eastAsia="仿宋" w:cs="Times New Roman"/>
          <w:kern w:val="2"/>
          <w:sz w:val="32"/>
          <w:szCs w:val="32"/>
          <w:u w:val="single"/>
          <w:lang w:val="zh-CN" w:eastAsia="zh-CN" w:bidi="ar-SA"/>
        </w:rPr>
        <w:t xml:space="preserve">                                  </w:t>
      </w:r>
    </w:p>
    <w:p>
      <w:pPr>
        <w:spacing w:after="0"/>
        <w:ind w:firstLine="281" w:firstLineChars="88"/>
        <w:rPr>
          <w:lang w:val="en-US" w:eastAsia="zh-CN"/>
        </w:rPr>
      </w:pPr>
      <w:r>
        <w:rPr>
          <w:rFonts w:hint="eastAsia" w:ascii="Times New Roman" w:hAnsi="Times New Roman" w:eastAsia="仿宋" w:cstheme="minorBidi"/>
          <w:b w:val="0"/>
          <w:kern w:val="2"/>
          <w:sz w:val="32"/>
          <w:szCs w:val="32"/>
          <w:lang w:val="zh-CN"/>
        </w:rPr>
        <w:t>数字化牵引单位：</w:t>
      </w:r>
      <w:r>
        <w:rPr>
          <w:rFonts w:ascii="Times New Roman" w:hAnsi="Times New Roman" w:eastAsia="仿宋"/>
          <w:sz w:val="32"/>
          <w:szCs w:val="32"/>
          <w:u w:val="single"/>
          <w:lang w:val="zh-CN"/>
        </w:rPr>
        <w:t xml:space="preserve">                            </w:t>
      </w:r>
      <w:r>
        <w:rPr>
          <w:rFonts w:hint="eastAsia" w:ascii="Times New Roman" w:hAnsi="Times New Roman" w:eastAsia="仿宋"/>
          <w:sz w:val="32"/>
          <w:szCs w:val="32"/>
          <w:u w:val="single"/>
          <w:lang w:val="en-US" w:eastAsia="zh-CN"/>
        </w:rPr>
        <w:t xml:space="preserve"> </w:t>
      </w:r>
    </w:p>
    <w:p>
      <w:pPr>
        <w:widowControl w:val="0"/>
        <w:spacing w:after="0" w:line="360" w:lineRule="auto"/>
        <w:ind w:firstLine="281" w:firstLineChars="88"/>
        <w:jc w:val="both"/>
        <w:rPr>
          <w:rFonts w:ascii="Times New Roman" w:hAnsi="Times New Roman" w:eastAsia="仿宋" w:cs="Times New Roman"/>
          <w:kern w:val="2"/>
          <w:sz w:val="32"/>
          <w:szCs w:val="32"/>
          <w:u w:val="single"/>
          <w:lang w:val="zh-CN" w:eastAsia="zh-CN" w:bidi="ar-SA"/>
        </w:rPr>
      </w:pP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zh-CN" w:eastAsia="zh-CN" w:bidi="ar-SA"/>
        </w:rPr>
        <w:t>申报日期：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  <w:u w:val="single"/>
          <w:lang w:val="zh-CN" w:eastAsia="zh-CN" w:bidi="ar-SA"/>
        </w:rPr>
        <w:t xml:space="preserve"> </w:t>
      </w:r>
      <w:r>
        <w:rPr>
          <w:rFonts w:ascii="Times New Roman" w:hAnsi="Times New Roman" w:eastAsia="仿宋" w:cs="Times New Roman"/>
          <w:kern w:val="2"/>
          <w:sz w:val="32"/>
          <w:szCs w:val="32"/>
          <w:u w:val="single"/>
          <w:lang w:val="zh-CN" w:eastAsia="zh-CN" w:bidi="ar-SA"/>
        </w:rPr>
        <w:t xml:space="preserve">                                  </w:t>
      </w:r>
    </w:p>
    <w:p>
      <w:pPr>
        <w:widowControl w:val="0"/>
        <w:spacing w:after="0"/>
        <w:ind w:firstLine="0" w:firstLineChars="0"/>
        <w:jc w:val="center"/>
        <w:rPr>
          <w:rFonts w:ascii="仿宋_GB2312" w:hAnsi="黑体" w:eastAsia="仿宋_GB2312" w:cs="Times New Roman"/>
          <w:kern w:val="2"/>
          <w:sz w:val="32"/>
          <w:szCs w:val="32"/>
          <w:lang w:val="en-US" w:eastAsia="zh-CN" w:bidi="ar-SA"/>
        </w:rPr>
      </w:pPr>
    </w:p>
    <w:p>
      <w:pPr>
        <w:widowControl w:val="0"/>
        <w:spacing w:after="0"/>
        <w:ind w:firstLine="0" w:firstLineChars="0"/>
        <w:jc w:val="center"/>
        <w:rPr>
          <w:rFonts w:hint="eastAsia" w:ascii="仿宋_GB2312" w:hAnsi="黑体" w:eastAsia="仿宋_GB2312" w:cs="Times New Roman"/>
          <w:kern w:val="2"/>
          <w:sz w:val="32"/>
          <w:szCs w:val="32"/>
          <w:lang w:val="en-US" w:eastAsia="zh-CN" w:bidi="ar-SA"/>
        </w:rPr>
      </w:pPr>
    </w:p>
    <w:p>
      <w:pPr>
        <w:widowControl w:val="0"/>
        <w:spacing w:after="0"/>
        <w:ind w:firstLine="0" w:firstLineChars="0"/>
        <w:jc w:val="center"/>
        <w:rPr>
          <w:rFonts w:hint="eastAsia" w:ascii="仿宋_GB2312" w:hAnsi="黑体" w:eastAsia="仿宋_GB2312" w:cs="Times New Roman"/>
          <w:kern w:val="2"/>
          <w:sz w:val="32"/>
          <w:szCs w:val="32"/>
          <w:lang w:val="en-US" w:eastAsia="zh-CN" w:bidi="ar-SA"/>
        </w:rPr>
      </w:pPr>
    </w:p>
    <w:p>
      <w:pPr>
        <w:widowControl w:val="0"/>
        <w:spacing w:after="0"/>
        <w:ind w:firstLine="0" w:firstLineChars="0"/>
        <w:jc w:val="center"/>
        <w:rPr>
          <w:rFonts w:hint="eastAsia" w:ascii="仿宋_GB2312" w:hAnsi="黑体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黑体" w:eastAsia="仿宋_GB2312" w:cs="Times New Roman"/>
          <w:kern w:val="2"/>
          <w:sz w:val="32"/>
          <w:szCs w:val="32"/>
          <w:lang w:val="en-US" w:eastAsia="zh-CN" w:bidi="ar-SA"/>
        </w:rPr>
        <w:t>江门市工业和信息化局制</w:t>
      </w:r>
    </w:p>
    <w:p>
      <w:pP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decimal" w:start="1"/>
          <w:cols w:space="425" w:num="1"/>
          <w:docGrid w:type="lines" w:linePitch="312" w:charSpace="0"/>
        </w:sectPr>
      </w:pPr>
    </w:p>
    <w:tbl>
      <w:tblPr>
        <w:tblStyle w:val="12"/>
        <w:tblW w:w="926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203"/>
        <w:gridCol w:w="593"/>
        <w:gridCol w:w="1202"/>
        <w:gridCol w:w="787"/>
        <w:gridCol w:w="1594"/>
        <w:gridCol w:w="425"/>
        <w:gridCol w:w="62"/>
        <w:gridCol w:w="694"/>
        <w:gridCol w:w="469"/>
        <w:gridCol w:w="647"/>
        <w:gridCol w:w="76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926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6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lang w:eastAsia="zh-CN"/>
              </w:rPr>
              <w:t>企业基本情况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20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6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企业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信用代码</w:t>
            </w:r>
          </w:p>
        </w:tc>
        <w:tc>
          <w:tcPr>
            <w:tcW w:w="17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6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286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6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法人代表</w:t>
            </w:r>
          </w:p>
        </w:tc>
        <w:tc>
          <w:tcPr>
            <w:tcW w:w="257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6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20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6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注册地址</w:t>
            </w:r>
          </w:p>
        </w:tc>
        <w:tc>
          <w:tcPr>
            <w:tcW w:w="724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6"/>
              <w:ind w:firstLine="0" w:firstLineChars="0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区（市）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 xml:space="preserve">镇（街道） 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 xml:space="preserve">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20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kinsoku w:val="0"/>
              <w:autoSpaceDE w:val="0"/>
              <w:autoSpaceDN w:val="0"/>
              <w:snapToGrid/>
              <w:spacing w:afterLines="0" w:line="560" w:lineRule="exact"/>
              <w:ind w:firstLine="0" w:firstLineChars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napToGrid w:val="0"/>
                <w:color w:val="auto"/>
                <w:kern w:val="0"/>
                <w:sz w:val="24"/>
                <w:szCs w:val="24"/>
              </w:rPr>
              <w:t>企业性质</w:t>
            </w:r>
          </w:p>
        </w:tc>
        <w:tc>
          <w:tcPr>
            <w:tcW w:w="724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kinsoku w:val="0"/>
              <w:autoSpaceDE w:val="0"/>
              <w:autoSpaceDN w:val="0"/>
              <w:snapToGrid/>
              <w:spacing w:afterLines="0" w:line="240" w:lineRule="auto"/>
              <w:ind w:firstLine="0" w:firstLineChars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napToGrid w:val="0"/>
                <w:color w:val="auto"/>
                <w:kern w:val="0"/>
                <w:sz w:val="24"/>
                <w:szCs w:val="24"/>
              </w:rPr>
              <w:t xml:space="preserve">□国有    □民营 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snapToGrid w:val="0"/>
                <w:color w:val="auto"/>
                <w:kern w:val="0"/>
                <w:sz w:val="24"/>
                <w:szCs w:val="24"/>
              </w:rPr>
              <w:t xml:space="preserve">  □外资 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snapToGrid w:val="0"/>
                <w:color w:val="auto"/>
                <w:kern w:val="0"/>
                <w:sz w:val="24"/>
                <w:szCs w:val="24"/>
              </w:rPr>
              <w:t xml:space="preserve">  □混合所有制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snapToGrid w:val="0"/>
                <w:color w:val="auto"/>
                <w:kern w:val="0"/>
                <w:sz w:val="24"/>
                <w:szCs w:val="24"/>
              </w:rPr>
              <w:t xml:space="preserve">  □其他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202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right" w:leader="dot" w:pos="8296"/>
              </w:tabs>
              <w:kinsoku w:val="0"/>
              <w:autoSpaceDE w:val="0"/>
              <w:autoSpaceDN w:val="0"/>
              <w:spacing w:before="0" w:beforeAutospacing="0" w:after="0" w:afterLines="0" w:afterAutospacing="0" w:line="560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napToGrid w:val="0"/>
                <w:color w:val="auto"/>
                <w:kern w:val="0"/>
                <w:sz w:val="24"/>
                <w:szCs w:val="24"/>
              </w:rPr>
              <w:t>企业规模</w:t>
            </w:r>
          </w:p>
        </w:tc>
        <w:tc>
          <w:tcPr>
            <w:tcW w:w="724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Lines="0" w:line="240" w:lineRule="auto"/>
              <w:ind w:firstLine="0" w:firstLineChars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 w:val="0"/>
                <w:bCs/>
                <w:snapToGrid w:val="0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napToGrid w:val="0"/>
                <w:color w:val="auto"/>
                <w:kern w:val="0"/>
                <w:sz w:val="24"/>
                <w:szCs w:val="24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  <w:t>中型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snapToGrid w:val="0"/>
                <w:color w:val="auto"/>
                <w:kern w:val="0"/>
                <w:sz w:val="24"/>
                <w:szCs w:val="24"/>
              </w:rPr>
              <w:t>企业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snapToGrid w:val="0"/>
                <w:color w:val="auto"/>
                <w:kern w:val="0"/>
                <w:sz w:val="24"/>
                <w:szCs w:val="24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  <w:t>小型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snapToGrid w:val="0"/>
                <w:color w:val="auto"/>
                <w:kern w:val="0"/>
                <w:sz w:val="24"/>
                <w:szCs w:val="24"/>
              </w:rPr>
              <w:t>企业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snapToGrid w:val="0"/>
                <w:color w:val="auto"/>
                <w:kern w:val="0"/>
                <w:sz w:val="24"/>
                <w:szCs w:val="24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  <w:t>微型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snapToGrid w:val="0"/>
                <w:color w:val="auto"/>
                <w:kern w:val="0"/>
                <w:sz w:val="24"/>
                <w:szCs w:val="24"/>
              </w:rPr>
              <w:t>企业</w:t>
            </w:r>
          </w:p>
          <w:p>
            <w:pPr>
              <w:pStyle w:val="3"/>
              <w:keepNext w:val="0"/>
              <w:keepLines w:val="0"/>
              <w:pageBreakBefore w:val="0"/>
              <w:tabs>
                <w:tab w:val="right" w:leader="dot" w:pos="8296"/>
              </w:tabs>
              <w:wordWrap/>
              <w:overflowPunct/>
              <w:topLinePunct w:val="0"/>
              <w:bidi w:val="0"/>
              <w:adjustRightInd w:val="0"/>
              <w:snapToGrid w:val="0"/>
              <w:spacing w:after="0" w:afterLines="0"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4"/>
                <w:szCs w:val="24"/>
                <w:highlight w:val="none"/>
              </w:rPr>
              <w:t>（中小企业规模类型自测：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4"/>
                <w:szCs w:val="24"/>
                <w:highlight w:val="none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4"/>
                <w:szCs w:val="24"/>
                <w:highlight w:val="none"/>
              </w:rPr>
              <w:instrText xml:space="preserve"> HYPERLINK "https://baosong.miit.gov.cn/ScaleTest" </w:instrTex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4"/>
                <w:szCs w:val="24"/>
                <w:highlight w:val="none"/>
              </w:rPr>
              <w:fldChar w:fldCharType="separate"/>
            </w:r>
            <w:r>
              <w:rPr>
                <w:rStyle w:val="15"/>
                <w:rFonts w:hint="default" w:ascii="Times New Roman" w:hAnsi="Times New Roman" w:eastAsia="仿宋_GB2312" w:cs="Times New Roman"/>
                <w:b w:val="0"/>
                <w:bCs/>
                <w:color w:val="auto"/>
                <w:sz w:val="24"/>
                <w:szCs w:val="24"/>
                <w:highlight w:val="none"/>
              </w:rPr>
              <w:t>https://baosong.miit.gov.cn/ScaleTest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4"/>
                <w:szCs w:val="24"/>
                <w:highlight w:val="none"/>
              </w:rPr>
              <w:fldChar w:fldCharType="end"/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4"/>
                <w:szCs w:val="24"/>
                <w:highlight w:val="none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  <w:jc w:val="center"/>
        </w:trPr>
        <w:tc>
          <w:tcPr>
            <w:tcW w:w="2020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0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4"/>
                <w:szCs w:val="24"/>
              </w:rPr>
            </w:pPr>
          </w:p>
        </w:tc>
        <w:tc>
          <w:tcPr>
            <w:tcW w:w="724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0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napToGrid w:val="0"/>
                <w:color w:val="auto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snapToGrid w:val="0"/>
                <w:color w:val="auto"/>
                <w:kern w:val="0"/>
                <w:sz w:val="24"/>
                <w:szCs w:val="24"/>
              </w:rPr>
              <w:t>规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  <w:t>模以上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snapToGrid w:val="0"/>
                <w:color w:val="auto"/>
                <w:kern w:val="0"/>
                <w:sz w:val="24"/>
                <w:szCs w:val="24"/>
              </w:rPr>
              <w:t>企业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  <w:t xml:space="preserve">          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snapToGrid w:val="0"/>
                <w:color w:val="auto"/>
                <w:kern w:val="0"/>
                <w:sz w:val="24"/>
                <w:szCs w:val="24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  <w:t>规模以下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snapToGrid w:val="0"/>
                <w:color w:val="auto"/>
                <w:kern w:val="0"/>
                <w:sz w:val="24"/>
                <w:szCs w:val="24"/>
              </w:rPr>
              <w:t>企业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5" w:hRule="atLeast"/>
          <w:jc w:val="center"/>
        </w:trPr>
        <w:tc>
          <w:tcPr>
            <w:tcW w:w="20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6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企业数字化水平等级</w:t>
            </w:r>
          </w:p>
        </w:tc>
        <w:tc>
          <w:tcPr>
            <w:tcW w:w="724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6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□无等级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□一级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□二级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□三级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□四级</w:t>
            </w:r>
          </w:p>
          <w:p>
            <w:pPr>
              <w:pStyle w:val="16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（根据数字化牵引单位诊断结果填写）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202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6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企业简介</w:t>
            </w:r>
          </w:p>
        </w:tc>
        <w:tc>
          <w:tcPr>
            <w:tcW w:w="7240" w:type="dxa"/>
            <w:gridSpan w:val="10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16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i/>
                <w:iCs/>
                <w:color w:val="auto"/>
                <w:sz w:val="24"/>
                <w:szCs w:val="24"/>
              </w:rPr>
              <w:t>企业</w:t>
            </w:r>
            <w:r>
              <w:rPr>
                <w:rFonts w:hint="default" w:ascii="Times New Roman" w:hAnsi="Times New Roman" w:eastAsia="仿宋_GB2312" w:cs="Times New Roman"/>
                <w:i/>
                <w:iCs/>
                <w:color w:val="auto"/>
                <w:sz w:val="24"/>
                <w:szCs w:val="24"/>
                <w:lang w:eastAsia="zh-CN"/>
              </w:rPr>
              <w:t>主要产品及在所属行业的情况</w:t>
            </w:r>
            <w:r>
              <w:rPr>
                <w:rFonts w:hint="default" w:ascii="Times New Roman" w:hAnsi="Times New Roman" w:eastAsia="仿宋_GB2312" w:cs="Times New Roman"/>
                <w:i/>
                <w:iCs/>
                <w:color w:val="auto"/>
                <w:sz w:val="24"/>
                <w:szCs w:val="24"/>
              </w:rPr>
              <w:t>、现有数字化基础</w:t>
            </w:r>
            <w:r>
              <w:rPr>
                <w:rFonts w:hint="default" w:ascii="Times New Roman" w:hAnsi="Times New Roman" w:eastAsia="仿宋_GB2312" w:cs="Times New Roman"/>
                <w:i/>
                <w:iCs/>
                <w:color w:val="auto"/>
                <w:sz w:val="24"/>
                <w:szCs w:val="24"/>
                <w:lang w:eastAsia="zh-CN"/>
              </w:rPr>
              <w:t>（已经进行数字化改造的应用场景、资金投入情况等）</w:t>
            </w:r>
            <w:r>
              <w:rPr>
                <w:rFonts w:hint="default" w:ascii="Times New Roman" w:hAnsi="Times New Roman" w:eastAsia="仿宋_GB2312" w:cs="Times New Roman"/>
                <w:i/>
                <w:iCs/>
                <w:color w:val="auto"/>
                <w:sz w:val="24"/>
                <w:szCs w:val="24"/>
              </w:rPr>
              <w:t>、企业荣誉资质等，字数300</w:t>
            </w:r>
            <w:r>
              <w:rPr>
                <w:rFonts w:hint="eastAsia" w:ascii="Times New Roman" w:hAnsi="Times New Roman" w:eastAsia="仿宋_GB2312" w:cs="Times New Roman"/>
                <w:i/>
                <w:iCs/>
                <w:color w:val="auto"/>
                <w:sz w:val="24"/>
                <w:szCs w:val="24"/>
                <w:lang w:val="en-US" w:eastAsia="zh-CN"/>
              </w:rPr>
              <w:t>字</w:t>
            </w:r>
            <w:r>
              <w:rPr>
                <w:rFonts w:hint="default" w:ascii="Times New Roman" w:hAnsi="Times New Roman" w:eastAsia="仿宋_GB2312" w:cs="Times New Roman"/>
                <w:i/>
                <w:iCs/>
                <w:color w:val="auto"/>
                <w:sz w:val="24"/>
                <w:szCs w:val="24"/>
              </w:rPr>
              <w:t>以内</w:t>
            </w:r>
            <w:r>
              <w:rPr>
                <w:rFonts w:hint="eastAsia" w:ascii="Times New Roman" w:hAnsi="Times New Roman" w:eastAsia="仿宋_GB2312" w:cs="Times New Roman"/>
                <w:i/>
                <w:iCs/>
                <w:color w:val="auto"/>
                <w:sz w:val="24"/>
                <w:szCs w:val="24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202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6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7240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16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202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6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7240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16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202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6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7240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16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202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6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7240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16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202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6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7240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16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202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6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7240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16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202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6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7240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16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202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6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7240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16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  <w:jc w:val="center"/>
        </w:trPr>
        <w:tc>
          <w:tcPr>
            <w:tcW w:w="202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6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7240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16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4" w:hRule="atLeast"/>
          <w:jc w:val="center"/>
        </w:trPr>
        <w:tc>
          <w:tcPr>
            <w:tcW w:w="20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6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所属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优质中小企业情况</w:t>
            </w:r>
          </w:p>
        </w:tc>
        <w:tc>
          <w:tcPr>
            <w:tcW w:w="724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16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□专精特新“小巨人”企业</w:t>
            </w:r>
          </w:p>
          <w:p>
            <w:pPr>
              <w:pStyle w:val="16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□广东省“专精特新”中小企业</w:t>
            </w:r>
          </w:p>
          <w:p>
            <w:pPr>
              <w:pStyle w:val="16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江门市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“专精特新”中小企业</w:t>
            </w:r>
          </w:p>
          <w:p>
            <w:pPr>
              <w:pStyle w:val="16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□广东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省创新型中小企业</w:t>
            </w:r>
          </w:p>
          <w:p>
            <w:pPr>
              <w:pStyle w:val="16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4" w:hRule="atLeast"/>
          <w:jc w:val="center"/>
        </w:trPr>
        <w:tc>
          <w:tcPr>
            <w:tcW w:w="20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6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数字化转型方面获得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的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荣誉</w:t>
            </w:r>
          </w:p>
        </w:tc>
        <w:tc>
          <w:tcPr>
            <w:tcW w:w="724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16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5" w:hRule="atLeast"/>
          <w:jc w:val="center"/>
        </w:trPr>
        <w:tc>
          <w:tcPr>
            <w:tcW w:w="20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6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企业总人数（人）</w:t>
            </w:r>
          </w:p>
        </w:tc>
        <w:tc>
          <w:tcPr>
            <w:tcW w:w="17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6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403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6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企业数字化人员数量</w:t>
            </w:r>
          </w:p>
          <w:p>
            <w:pPr>
              <w:pStyle w:val="16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</w:rPr>
              <w:t>（包括IT人员、自动化改造设备维护改造人员等）</w:t>
            </w:r>
          </w:p>
        </w:tc>
        <w:tc>
          <w:tcPr>
            <w:tcW w:w="14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6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4" w:hRule="atLeast"/>
          <w:jc w:val="center"/>
        </w:trPr>
        <w:tc>
          <w:tcPr>
            <w:tcW w:w="2020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6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上年度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主营</w:t>
            </w:r>
          </w:p>
          <w:p>
            <w:pPr>
              <w:pStyle w:val="16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业务收入</w:t>
            </w:r>
          </w:p>
          <w:p>
            <w:pPr>
              <w:pStyle w:val="16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（万元）</w:t>
            </w:r>
          </w:p>
        </w:tc>
        <w:tc>
          <w:tcPr>
            <w:tcW w:w="724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6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926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6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</w:rPr>
              <w:t>项目基本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lang w:eastAsia="zh-CN"/>
              </w:rPr>
              <w:t>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20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6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项目名称</w:t>
            </w:r>
          </w:p>
        </w:tc>
        <w:tc>
          <w:tcPr>
            <w:tcW w:w="724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6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20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6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项目实施期限</w:t>
            </w:r>
          </w:p>
        </w:tc>
        <w:tc>
          <w:tcPr>
            <w:tcW w:w="724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6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 xml:space="preserve">     年         月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至         年         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3" w:hRule="atLeast"/>
          <w:jc w:val="center"/>
        </w:trPr>
        <w:tc>
          <w:tcPr>
            <w:tcW w:w="20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6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产品及服务类别</w:t>
            </w:r>
          </w:p>
        </w:tc>
        <w:tc>
          <w:tcPr>
            <w:tcW w:w="724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6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□数字化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技术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咨询服务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 xml:space="preserve"> □网络通信服务  □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算法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 xml:space="preserve">和模型开发 </w:t>
            </w:r>
          </w:p>
          <w:p>
            <w:pPr>
              <w:pStyle w:val="16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□数据分析服务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□系统集成服务  □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网络与数据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安全防护服务</w:t>
            </w:r>
          </w:p>
          <w:p>
            <w:pPr>
              <w:pStyle w:val="16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基础软件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开发服务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 xml:space="preserve">支撑软件开发服务 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□应用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软件开发服务</w:t>
            </w:r>
          </w:p>
          <w:p>
            <w:pPr>
              <w:pStyle w:val="16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□智能硬件产品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及服务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 xml:space="preserve">   □云服务和云应用</w:t>
            </w:r>
          </w:p>
          <w:p>
            <w:pPr>
              <w:pStyle w:val="16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□其他：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u w:val="single"/>
              </w:rPr>
              <w:t xml:space="preserve">                  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3" w:hRule="atLeast"/>
          <w:jc w:val="center"/>
        </w:trPr>
        <w:tc>
          <w:tcPr>
            <w:tcW w:w="20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6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应用场景</w:t>
            </w:r>
          </w:p>
        </w:tc>
        <w:tc>
          <w:tcPr>
            <w:tcW w:w="724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6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 xml:space="preserve">□产品设计    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□工艺设计    □营销管理      □售后服务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计划排程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 xml:space="preserve"> □生产管控  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 xml:space="preserve"> □质量管理  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 xml:space="preserve"> □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设备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 xml:space="preserve">管理 </w:t>
            </w:r>
          </w:p>
          <w:p>
            <w:pPr>
              <w:pStyle w:val="16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 xml:space="preserve">安全生产   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 xml:space="preserve"> □能耗管理   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 xml:space="preserve">□采购管理  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 xml:space="preserve"> □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仓储物流</w:t>
            </w:r>
          </w:p>
          <w:p>
            <w:pPr>
              <w:pStyle w:val="16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 xml:space="preserve">财务管理   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 xml:space="preserve"> □人力资源   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协同办公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 xml:space="preserve"> □决策支持</w:t>
            </w:r>
          </w:p>
          <w:p>
            <w:pPr>
              <w:pStyle w:val="16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其他：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u w:val="single"/>
              </w:rPr>
              <w:t xml:space="preserve">             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4" w:hRule="atLeast"/>
          <w:jc w:val="center"/>
        </w:trPr>
        <w:tc>
          <w:tcPr>
            <w:tcW w:w="20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6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上云用云计划</w:t>
            </w:r>
          </w:p>
        </w:tc>
        <w:tc>
          <w:tcPr>
            <w:tcW w:w="724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6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 xml:space="preserve">□设备上云 □业务系统上云 □资源上云（数据、视频等） 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 xml:space="preserve">□工具软件上云（数据库、操作系统等） </w:t>
            </w:r>
          </w:p>
          <w:p>
            <w:pPr>
              <w:pStyle w:val="16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□其他：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u w:val="single"/>
              </w:rPr>
              <w:t xml:space="preserve">             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 xml:space="preserve">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202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6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项目投入（万元/不含税）</w:t>
            </w:r>
          </w:p>
        </w:tc>
        <w:tc>
          <w:tcPr>
            <w:tcW w:w="2582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6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i/>
                <w:iCs/>
                <w:color w:val="auto"/>
                <w:sz w:val="21"/>
                <w:szCs w:val="21"/>
                <w:lang w:val="en-US" w:eastAsia="zh-CN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i/>
                <w:iCs/>
                <w:color w:val="auto"/>
                <w:sz w:val="21"/>
                <w:szCs w:val="21"/>
                <w:lang w:val="en-US" w:eastAsia="zh-CN"/>
              </w:rPr>
              <w:t>按实际</w:t>
            </w:r>
            <w:r>
              <w:rPr>
                <w:rFonts w:hint="eastAsia" w:ascii="Times New Roman" w:hAnsi="Times New Roman" w:eastAsia="仿宋_GB2312" w:cs="Times New Roman"/>
                <w:i/>
                <w:iCs/>
                <w:color w:val="auto"/>
                <w:sz w:val="21"/>
                <w:szCs w:val="21"/>
                <w:lang w:val="en-US" w:eastAsia="zh-CN"/>
              </w:rPr>
              <w:t>投入</w:t>
            </w:r>
            <w:r>
              <w:rPr>
                <w:rFonts w:hint="default" w:ascii="Times New Roman" w:hAnsi="Times New Roman" w:eastAsia="仿宋_GB2312" w:cs="Times New Roman"/>
                <w:i/>
                <w:iCs/>
                <w:color w:val="auto"/>
                <w:sz w:val="21"/>
                <w:szCs w:val="21"/>
                <w:lang w:val="en-US" w:eastAsia="zh-CN"/>
              </w:rPr>
              <w:t>金额填写</w:t>
            </w:r>
            <w:r>
              <w:rPr>
                <w:rFonts w:hint="eastAsia" w:ascii="Times New Roman" w:hAnsi="Times New Roman" w:eastAsia="仿宋_GB2312" w:cs="Times New Roman"/>
                <w:i/>
                <w:iCs/>
                <w:color w:val="auto"/>
                <w:sz w:val="21"/>
                <w:szCs w:val="21"/>
                <w:lang w:val="en-US" w:eastAsia="zh-CN"/>
              </w:rPr>
              <w:t>）</w:t>
            </w:r>
          </w:p>
        </w:tc>
        <w:tc>
          <w:tcPr>
            <w:tcW w:w="20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6"/>
              <w:jc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sz w:val="21"/>
                <w:szCs w:val="21"/>
                <w:lang w:val="en-US" w:eastAsia="zh-CN"/>
              </w:rPr>
              <w:t>项目贷款额度</w:t>
            </w:r>
          </w:p>
          <w:p>
            <w:pPr>
              <w:pStyle w:val="16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sz w:val="21"/>
                <w:szCs w:val="21"/>
                <w:lang w:val="en-US" w:eastAsia="zh-CN"/>
              </w:rPr>
              <w:t>（万元）</w:t>
            </w:r>
          </w:p>
        </w:tc>
        <w:tc>
          <w:tcPr>
            <w:tcW w:w="263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6"/>
              <w:jc w:val="left"/>
              <w:rPr>
                <w:rFonts w:hint="default" w:ascii="Times New Roman" w:hAnsi="Times New Roman" w:eastAsia="仿宋_GB2312" w:cs="Times New Roman"/>
                <w:i/>
                <w:i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i/>
                <w:iCs/>
                <w:color w:val="auto"/>
                <w:sz w:val="21"/>
                <w:szCs w:val="21"/>
                <w:lang w:val="en-US" w:eastAsia="zh-CN"/>
              </w:rPr>
              <w:t>（如无可不用填写）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2020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6"/>
              <w:jc w:val="left"/>
            </w:pPr>
          </w:p>
        </w:tc>
        <w:tc>
          <w:tcPr>
            <w:tcW w:w="2582" w:type="dxa"/>
            <w:gridSpan w:val="3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6"/>
              <w:jc w:val="left"/>
            </w:pPr>
          </w:p>
        </w:tc>
        <w:tc>
          <w:tcPr>
            <w:tcW w:w="20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6"/>
              <w:jc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sz w:val="21"/>
                <w:szCs w:val="21"/>
                <w:lang w:val="en-US" w:eastAsia="zh-CN"/>
              </w:rPr>
              <w:t>项目贷款银行</w:t>
            </w:r>
          </w:p>
        </w:tc>
        <w:tc>
          <w:tcPr>
            <w:tcW w:w="263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6"/>
              <w:jc w:val="left"/>
              <w:rPr>
                <w:rFonts w:hint="eastAsia" w:ascii="Times New Roman" w:hAnsi="Times New Roman" w:eastAsia="仿宋_GB2312" w:cs="Times New Roman"/>
                <w:i/>
                <w:i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i/>
                <w:iCs/>
                <w:color w:val="auto"/>
                <w:sz w:val="21"/>
                <w:szCs w:val="21"/>
                <w:lang w:val="en-US" w:eastAsia="zh-CN"/>
              </w:rPr>
              <w:t>（如无可不用填写）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926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6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</w:rPr>
              <w:t>项目实施方信息（牵引单位及合作伙伴）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6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17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6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单位名称</w:t>
            </w:r>
          </w:p>
        </w:tc>
        <w:tc>
          <w:tcPr>
            <w:tcW w:w="1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6"/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提供产品编号</w:t>
            </w:r>
          </w:p>
          <w:p>
            <w:pPr>
              <w:pStyle w:val="16"/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strike w:val="0"/>
                <w:dstrike w:val="0"/>
                <w:color w:val="auto"/>
                <w:sz w:val="21"/>
                <w:szCs w:val="21"/>
                <w:lang w:eastAsia="zh-CN"/>
              </w:rPr>
              <w:t>须与市工业和信息化局</w:t>
            </w:r>
            <w:r>
              <w:rPr>
                <w:rFonts w:hint="eastAsia" w:ascii="Times New Roman" w:hAnsi="Times New Roman" w:eastAsia="仿宋_GB2312" w:cs="Times New Roman"/>
                <w:strike w:val="0"/>
                <w:dstrike w:val="0"/>
                <w:color w:val="auto"/>
                <w:sz w:val="21"/>
                <w:szCs w:val="21"/>
                <w:lang w:eastAsia="zh-CN"/>
              </w:rPr>
              <w:t>公</w:t>
            </w:r>
            <w:r>
              <w:rPr>
                <w:rFonts w:hint="default" w:ascii="Times New Roman" w:hAnsi="Times New Roman" w:eastAsia="仿宋_GB2312" w:cs="Times New Roman"/>
                <w:strike w:val="0"/>
                <w:dstrike w:val="0"/>
                <w:color w:val="auto"/>
                <w:sz w:val="21"/>
                <w:szCs w:val="21"/>
                <w:lang w:eastAsia="zh-CN"/>
              </w:rPr>
              <w:t>布的</w:t>
            </w:r>
            <w:r>
              <w:rPr>
                <w:rFonts w:hint="default" w:ascii="Times New Roman" w:hAnsi="Times New Roman" w:eastAsia="仿宋_GB2312" w:cs="Times New Roman"/>
                <w:strike w:val="0"/>
                <w:dstrike w:val="0"/>
                <w:color w:val="auto"/>
                <w:sz w:val="21"/>
                <w:szCs w:val="21"/>
              </w:rPr>
              <w:t>产品</w:t>
            </w:r>
            <w:r>
              <w:rPr>
                <w:rFonts w:hint="eastAsia" w:ascii="Times New Roman" w:hAnsi="Times New Roman" w:eastAsia="仿宋_GB2312" w:cs="Times New Roman"/>
                <w:strike w:val="0"/>
                <w:dstrike w:val="0"/>
                <w:color w:val="auto"/>
                <w:sz w:val="21"/>
                <w:szCs w:val="21"/>
                <w:lang w:eastAsia="zh-CN"/>
              </w:rPr>
              <w:t>编号</w:t>
            </w:r>
            <w:r>
              <w:rPr>
                <w:rFonts w:hint="default" w:ascii="Times New Roman" w:hAnsi="Times New Roman" w:eastAsia="仿宋_GB2312" w:cs="Times New Roman"/>
                <w:strike w:val="0"/>
                <w:dstrike w:val="0"/>
                <w:color w:val="auto"/>
                <w:sz w:val="21"/>
                <w:szCs w:val="21"/>
              </w:rPr>
              <w:t>保持一致</w:t>
            </w:r>
            <w:r>
              <w:rPr>
                <w:rFonts w:hint="eastAsia" w:ascii="Times New Roman" w:hAnsi="Times New Roman" w:eastAsia="仿宋_GB2312" w:cs="Times New Roman"/>
                <w:strike w:val="0"/>
                <w:dstrike w:val="0"/>
                <w:color w:val="auto"/>
                <w:sz w:val="21"/>
                <w:szCs w:val="21"/>
                <w:lang w:eastAsia="zh-CN"/>
              </w:rPr>
              <w:t>，不在清单内产品不用填写编号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6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产品名称</w:t>
            </w:r>
          </w:p>
        </w:tc>
        <w:tc>
          <w:tcPr>
            <w:tcW w:w="11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6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产品价格</w:t>
            </w:r>
          </w:p>
        </w:tc>
        <w:tc>
          <w:tcPr>
            <w:tcW w:w="11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6"/>
              <w:ind w:firstLine="0" w:firstLineChars="0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联系人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6"/>
              <w:ind w:firstLine="0" w:firstLineChars="0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联系电话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6"/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7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6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6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6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1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6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1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6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6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6"/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7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6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6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6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1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6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1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6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6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6"/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7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6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6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6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1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6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1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6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6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202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6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项目建设内容</w:t>
            </w:r>
          </w:p>
        </w:tc>
        <w:tc>
          <w:tcPr>
            <w:tcW w:w="7240" w:type="dxa"/>
            <w:gridSpan w:val="10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6"/>
              <w:jc w:val="both"/>
              <w:rPr>
                <w:rFonts w:hint="default" w:ascii="Times New Roman" w:hAnsi="Times New Roman" w:eastAsia="仿宋_GB2312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i/>
                <w:iCs/>
                <w:color w:val="auto"/>
                <w:sz w:val="24"/>
                <w:szCs w:val="24"/>
              </w:rPr>
              <w:t>（阐述项目建设内容</w:t>
            </w:r>
            <w:r>
              <w:rPr>
                <w:rFonts w:hint="eastAsia" w:ascii="Times New Roman" w:hAnsi="Times New Roman" w:eastAsia="仿宋_GB2312" w:cs="Times New Roman"/>
                <w:i/>
                <w:iCs/>
                <w:color w:val="auto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Times New Roman" w:hAnsi="Times New Roman" w:eastAsia="仿宋_GB2312" w:cs="Times New Roman"/>
                <w:i/>
                <w:iCs/>
                <w:color w:val="auto"/>
                <w:sz w:val="24"/>
                <w:szCs w:val="24"/>
                <w:lang w:val="en-US" w:eastAsia="zh-CN"/>
              </w:rPr>
              <w:t>主要功能、预期成效</w:t>
            </w:r>
            <w:r>
              <w:rPr>
                <w:rFonts w:hint="default" w:ascii="Times New Roman" w:hAnsi="Times New Roman" w:eastAsia="仿宋_GB2312" w:cs="Times New Roman"/>
                <w:i/>
                <w:iCs/>
                <w:color w:val="auto"/>
                <w:sz w:val="24"/>
                <w:szCs w:val="24"/>
              </w:rPr>
              <w:t>等，字数</w:t>
            </w:r>
            <w:r>
              <w:rPr>
                <w:rFonts w:hint="eastAsia" w:ascii="Times New Roman" w:hAnsi="Times New Roman" w:eastAsia="仿宋_GB2312" w:cs="Times New Roman"/>
                <w:i/>
                <w:iCs/>
                <w:color w:val="auto"/>
                <w:sz w:val="24"/>
                <w:szCs w:val="24"/>
                <w:lang w:val="en-US" w:eastAsia="zh-CN"/>
              </w:rPr>
              <w:t>控制在</w:t>
            </w:r>
            <w:r>
              <w:rPr>
                <w:rFonts w:hint="default" w:ascii="Times New Roman" w:hAnsi="Times New Roman" w:eastAsia="仿宋_GB2312" w:cs="Times New Roman"/>
                <w:i/>
                <w:iCs/>
                <w:color w:val="auto"/>
                <w:sz w:val="24"/>
                <w:szCs w:val="24"/>
              </w:rPr>
              <w:t>500</w:t>
            </w:r>
            <w:r>
              <w:rPr>
                <w:rFonts w:hint="eastAsia" w:ascii="Times New Roman" w:hAnsi="Times New Roman" w:eastAsia="仿宋_GB2312" w:cs="Times New Roman"/>
                <w:i/>
                <w:iCs/>
                <w:color w:val="auto"/>
                <w:sz w:val="24"/>
                <w:szCs w:val="24"/>
                <w:lang w:val="en-US" w:eastAsia="zh-CN"/>
              </w:rPr>
              <w:t>字</w:t>
            </w:r>
            <w:r>
              <w:rPr>
                <w:rFonts w:hint="default" w:ascii="Times New Roman" w:hAnsi="Times New Roman" w:eastAsia="仿宋_GB2312" w:cs="Times New Roman"/>
                <w:i/>
                <w:iCs/>
                <w:color w:val="auto"/>
                <w:sz w:val="24"/>
                <w:szCs w:val="24"/>
              </w:rPr>
              <w:t>以内）</w:t>
            </w:r>
          </w:p>
          <w:p>
            <w:pPr>
              <w:pStyle w:val="16"/>
              <w:jc w:val="both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  <w:p>
            <w:pPr>
              <w:pStyle w:val="16"/>
              <w:jc w:val="both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  <w:p>
            <w:pPr>
              <w:pStyle w:val="16"/>
              <w:jc w:val="both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  <w:p>
            <w:pPr>
              <w:pStyle w:val="16"/>
              <w:jc w:val="both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  <w:p>
            <w:pPr>
              <w:pStyle w:val="16"/>
              <w:jc w:val="both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  <w:p>
            <w:pPr>
              <w:pStyle w:val="16"/>
              <w:jc w:val="both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  <w:p>
            <w:pPr>
              <w:pStyle w:val="16"/>
              <w:jc w:val="both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  <w:p>
            <w:pPr>
              <w:pStyle w:val="16"/>
              <w:jc w:val="both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  <w:p>
            <w:pPr>
              <w:pStyle w:val="16"/>
              <w:jc w:val="both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  <w:p>
            <w:pPr>
              <w:pStyle w:val="16"/>
              <w:jc w:val="both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  <w:p>
            <w:pPr>
              <w:pStyle w:val="16"/>
              <w:jc w:val="both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  <w:p>
            <w:pPr>
              <w:pStyle w:val="16"/>
              <w:jc w:val="both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  <w:p>
            <w:pPr>
              <w:pStyle w:val="16"/>
              <w:jc w:val="both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  <w:p>
            <w:pPr>
              <w:pStyle w:val="16"/>
              <w:jc w:val="both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  <w:p>
            <w:pPr>
              <w:pStyle w:val="16"/>
              <w:jc w:val="both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  <w:p>
            <w:pPr>
              <w:pStyle w:val="16"/>
              <w:jc w:val="both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  <w:p>
            <w:pPr>
              <w:pStyle w:val="16"/>
              <w:jc w:val="both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  <w:p>
            <w:pPr>
              <w:pStyle w:val="16"/>
              <w:jc w:val="both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  <w:p>
            <w:pPr>
              <w:pStyle w:val="16"/>
              <w:jc w:val="both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  <w:p>
            <w:pPr>
              <w:pStyle w:val="16"/>
              <w:jc w:val="both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  <w:p>
            <w:pPr>
              <w:pStyle w:val="16"/>
              <w:jc w:val="both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  <w:p>
            <w:pPr>
              <w:pStyle w:val="16"/>
              <w:jc w:val="both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  <w:p>
            <w:pPr>
              <w:pStyle w:val="16"/>
              <w:jc w:val="both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  <w:p>
            <w:pPr>
              <w:pStyle w:val="16"/>
              <w:jc w:val="both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  <w:p>
            <w:pPr>
              <w:pStyle w:val="16"/>
              <w:jc w:val="both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  <w:p>
            <w:pPr>
              <w:pStyle w:val="16"/>
              <w:jc w:val="both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  <w:p>
            <w:pPr>
              <w:pStyle w:val="16"/>
              <w:jc w:val="both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  <w:p>
            <w:pPr>
              <w:pStyle w:val="16"/>
              <w:jc w:val="both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  <w:p>
            <w:pPr>
              <w:pStyle w:val="16"/>
              <w:jc w:val="both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  <w:p>
            <w:pPr>
              <w:pStyle w:val="16"/>
              <w:jc w:val="both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  <w:p>
            <w:pPr>
              <w:pStyle w:val="16"/>
              <w:jc w:val="both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  <w:p>
            <w:pPr>
              <w:pStyle w:val="16"/>
              <w:jc w:val="both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  <w:p>
            <w:pPr>
              <w:pStyle w:val="16"/>
              <w:jc w:val="both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  <w:p>
            <w:pPr>
              <w:pStyle w:val="16"/>
              <w:jc w:val="both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  <w:p>
            <w:pPr>
              <w:pStyle w:val="16"/>
              <w:jc w:val="both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  <w:p>
            <w:pPr>
              <w:pStyle w:val="16"/>
              <w:jc w:val="both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  <w:p>
            <w:pPr>
              <w:pStyle w:val="16"/>
              <w:jc w:val="both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  <w:p>
            <w:pPr>
              <w:pStyle w:val="16"/>
              <w:jc w:val="both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9" w:hRule="atLeast"/>
          <w:jc w:val="center"/>
        </w:trPr>
        <w:tc>
          <w:tcPr>
            <w:tcW w:w="202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6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7240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16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63" w:hRule="atLeast"/>
          <w:jc w:val="center"/>
        </w:trPr>
        <w:tc>
          <w:tcPr>
            <w:tcW w:w="20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6"/>
              <w:ind w:firstLine="0" w:firstLineChars="0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  <w:r>
              <w:rPr>
                <w:rFonts w:hint="eastAsia" w:eastAsia="仿宋_GB2312" w:cs="仿宋_GB2312"/>
                <w:color w:val="auto"/>
                <w:sz w:val="28"/>
                <w:szCs w:val="28"/>
                <w:lang w:eastAsia="zh-CN"/>
              </w:rPr>
              <w:t>申报单位承诺</w:t>
            </w:r>
          </w:p>
        </w:tc>
        <w:tc>
          <w:tcPr>
            <w:tcW w:w="724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本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单位承诺：</w:t>
            </w:r>
          </w:p>
          <w:p>
            <w:pPr>
              <w:spacing w:line="560" w:lineRule="exact"/>
              <w:ind w:firstLine="560" w:firstLineChars="20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1.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本申报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项目符合国家和省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、市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产业政策；</w:t>
            </w:r>
          </w:p>
          <w:p>
            <w:pPr>
              <w:spacing w:line="560" w:lineRule="exact"/>
              <w:ind w:firstLine="560" w:firstLineChars="20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2.申报项目未获得过本专项资金以外的省、市级政府财政资金支持（制造业中小企业申报享受江门市“政银保”融资项目数字化转型贷款贴息政策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的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除外）；</w:t>
            </w:r>
          </w:p>
          <w:p>
            <w:pPr>
              <w:spacing w:line="560" w:lineRule="exact"/>
              <w:ind w:firstLine="560" w:firstLineChars="20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3.本单位近三年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在专项审计、绩效评价、监督检查等方面未出现严重违法违规情况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；</w:t>
            </w:r>
          </w:p>
          <w:p>
            <w:pPr>
              <w:spacing w:line="560" w:lineRule="exact"/>
              <w:ind w:firstLine="560" w:firstLineChars="20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.专项资金获批后将按规定使用；</w:t>
            </w:r>
          </w:p>
          <w:p>
            <w:pPr>
              <w:spacing w:line="560" w:lineRule="exact"/>
              <w:ind w:firstLine="560" w:firstLineChars="20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.自觉接受财政、工信、审计、纪检等部门的监督检查；</w:t>
            </w:r>
          </w:p>
          <w:p>
            <w:pPr>
              <w:spacing w:line="560" w:lineRule="exact"/>
              <w:ind w:firstLine="560" w:firstLineChars="20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.申报资料是真实、完整、有效的，如存在提供虚假资料或凭证行为，无论项目最终是否获得资助，由此产生的法律责任及其他所有后果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lang w:eastAsia="zh-CN"/>
              </w:rPr>
              <w:t>可能面临包括但不限于收回财政资金、纳入纳入征信体系黑名单、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lang w:val="en-US" w:eastAsia="zh-CN"/>
              </w:rPr>
              <w:t>5年内停止申报专项资金资格等处罚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，本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单位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都将全部承担。</w:t>
            </w:r>
          </w:p>
          <w:p>
            <w:pPr>
              <w:pStyle w:val="2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  <w:p>
            <w:pPr>
              <w:pStyle w:val="11"/>
              <w:ind w:firstLine="0" w:firstLineChars="0"/>
              <w:jc w:val="left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申报单位盖章：</w:t>
            </w:r>
          </w:p>
          <w:p>
            <w:pPr>
              <w:pStyle w:val="11"/>
              <w:ind w:firstLine="0" w:firstLineChars="0"/>
              <w:jc w:val="left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  <w:p>
            <w:pPr>
              <w:pStyle w:val="11"/>
              <w:ind w:firstLine="1600" w:firstLineChars="500"/>
              <w:jc w:val="left"/>
              <w:rPr>
                <w:rFonts w:hint="eastAsi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时间：   年    月    日</w:t>
            </w:r>
          </w:p>
          <w:p>
            <w:pPr>
              <w:pStyle w:val="16"/>
              <w:ind w:firstLine="0" w:firstLineChars="0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</w:tr>
    </w:tbl>
    <w:p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outlineLvl w:val="0"/>
        <w:rPr>
          <w:rFonts w:hint="default" w:ascii="Times New Roman" w:hAnsi="Times New Roman" w:cs="Times New Roman"/>
          <w:lang w:val="en-US" w:eastAsia="zh-CN"/>
        </w:rPr>
      </w:pPr>
    </w:p>
    <w:sectPr>
      <w:footerReference r:id="rId4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rhfn7MQIAAGE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uhoXX2o+guYO8vCVu8sj2miet6ujgFidhpHgXpVBt0weV2XhlcSR/vPfRf1+GdY&#10;/g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revisionView w:markup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FhMGYyM2U3ZjJjNWE2Y2UzNmYxY2Y4OGY1ODgxNWIifQ=="/>
  </w:docVars>
  <w:rsids>
    <w:rsidRoot w:val="4A1947CF"/>
    <w:rsid w:val="20F36B91"/>
    <w:rsid w:val="2B27699C"/>
    <w:rsid w:val="31730E8E"/>
    <w:rsid w:val="33FFEF21"/>
    <w:rsid w:val="34F619D4"/>
    <w:rsid w:val="3E5D950C"/>
    <w:rsid w:val="3EDF0418"/>
    <w:rsid w:val="3FB7D03C"/>
    <w:rsid w:val="3FFF7D7B"/>
    <w:rsid w:val="422B1D35"/>
    <w:rsid w:val="4A1947CF"/>
    <w:rsid w:val="4CCB6B43"/>
    <w:rsid w:val="4FFBB648"/>
    <w:rsid w:val="57FFF6D5"/>
    <w:rsid w:val="583125CF"/>
    <w:rsid w:val="5D5BEBB4"/>
    <w:rsid w:val="5D6B900B"/>
    <w:rsid w:val="5DBF84E2"/>
    <w:rsid w:val="5FBFD2E4"/>
    <w:rsid w:val="67FFDDB2"/>
    <w:rsid w:val="6B366F5D"/>
    <w:rsid w:val="6CFB83B2"/>
    <w:rsid w:val="6ED55BAA"/>
    <w:rsid w:val="6FFE5996"/>
    <w:rsid w:val="706848A3"/>
    <w:rsid w:val="76FFEF4C"/>
    <w:rsid w:val="777199DF"/>
    <w:rsid w:val="77FEEBD6"/>
    <w:rsid w:val="797F403C"/>
    <w:rsid w:val="7B278FB2"/>
    <w:rsid w:val="7BC2A8BD"/>
    <w:rsid w:val="7C661C4C"/>
    <w:rsid w:val="7DFEFAFB"/>
    <w:rsid w:val="7EDA62EA"/>
    <w:rsid w:val="7F9CEE8E"/>
    <w:rsid w:val="7FBBA488"/>
    <w:rsid w:val="87EF17C2"/>
    <w:rsid w:val="9EB76C62"/>
    <w:rsid w:val="BB7BBD78"/>
    <w:rsid w:val="BBFA8A7D"/>
    <w:rsid w:val="BF1457AD"/>
    <w:rsid w:val="BF7B0516"/>
    <w:rsid w:val="BFD21C24"/>
    <w:rsid w:val="C667B40D"/>
    <w:rsid w:val="CF7B7A17"/>
    <w:rsid w:val="D7D9C2A2"/>
    <w:rsid w:val="DF7F82D2"/>
    <w:rsid w:val="DFB47FB6"/>
    <w:rsid w:val="DFD715B8"/>
    <w:rsid w:val="DFED6F70"/>
    <w:rsid w:val="EBFB01B3"/>
    <w:rsid w:val="EFEE0315"/>
    <w:rsid w:val="EFEEE163"/>
    <w:rsid w:val="F3E72A38"/>
    <w:rsid w:val="F7EF6FFA"/>
    <w:rsid w:val="F7F834D9"/>
    <w:rsid w:val="FDEFC631"/>
    <w:rsid w:val="FDF65105"/>
    <w:rsid w:val="FDFE3F4D"/>
    <w:rsid w:val="FEF61FD3"/>
    <w:rsid w:val="FEFF1C72"/>
    <w:rsid w:val="FF377A03"/>
    <w:rsid w:val="FF3F5E0C"/>
    <w:rsid w:val="FF7B65EB"/>
    <w:rsid w:val="FFAFD916"/>
    <w:rsid w:val="FFEED2B5"/>
    <w:rsid w:val="FFFFE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name="Body Text"/>
    <w:lsdException w:qFormat="1" w:uiPriority="99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160" w:after="160" w:line="360" w:lineRule="auto"/>
      <w:ind w:firstLine="0" w:firstLineChars="0"/>
      <w:outlineLvl w:val="0"/>
    </w:pPr>
    <w:rPr>
      <w:rFonts w:ascii="宋体" w:hAnsi="宋体" w:eastAsia="宋体" w:cs="Times New Roman"/>
      <w:b/>
      <w:kern w:val="44"/>
      <w:sz w:val="28"/>
      <w:szCs w:val="28"/>
    </w:rPr>
  </w:style>
  <w:style w:type="character" w:default="1" w:styleId="14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4"/>
    <w:semiHidden/>
    <w:unhideWhenUsed/>
    <w:qFormat/>
    <w:uiPriority w:val="99"/>
    <w:pPr>
      <w:spacing w:after="120"/>
    </w:pPr>
  </w:style>
  <w:style w:type="paragraph" w:styleId="4">
    <w:name w:val="Body Text First Indent 2"/>
    <w:basedOn w:val="5"/>
    <w:next w:val="1"/>
    <w:qFormat/>
    <w:uiPriority w:val="0"/>
    <w:pPr>
      <w:ind w:firstLine="420"/>
    </w:pPr>
    <w:rPr>
      <w:szCs w:val="21"/>
    </w:rPr>
  </w:style>
  <w:style w:type="paragraph" w:styleId="5">
    <w:name w:val="Body Text Indent"/>
    <w:basedOn w:val="1"/>
    <w:semiHidden/>
    <w:unhideWhenUsed/>
    <w:qFormat/>
    <w:uiPriority w:val="99"/>
    <w:pPr>
      <w:spacing w:after="120"/>
      <w:ind w:left="420" w:leftChars="200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toc 1"/>
    <w:basedOn w:val="1"/>
    <w:next w:val="1"/>
    <w:qFormat/>
    <w:uiPriority w:val="0"/>
  </w:style>
  <w:style w:type="paragraph" w:styleId="9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0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ascii="Arial" w:hAnsi="Arial"/>
      <w:b/>
    </w:rPr>
  </w:style>
  <w:style w:type="paragraph" w:styleId="11">
    <w:name w:val="Body Text First Indent"/>
    <w:basedOn w:val="3"/>
    <w:unhideWhenUsed/>
    <w:qFormat/>
    <w:uiPriority w:val="99"/>
    <w:pPr>
      <w:spacing w:after="0"/>
      <w:ind w:firstLine="420" w:firstLineChars="100"/>
    </w:pPr>
    <w:rPr>
      <w:sz w:val="30"/>
      <w:szCs w:val="20"/>
    </w:rPr>
  </w:style>
  <w:style w:type="table" w:styleId="13">
    <w:name w:val="Table Grid"/>
    <w:basedOn w:val="1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FollowedHyperlink"/>
    <w:basedOn w:val="14"/>
    <w:qFormat/>
    <w:uiPriority w:val="0"/>
    <w:rPr>
      <w:color w:val="800080"/>
      <w:u w:val="single"/>
    </w:rPr>
  </w:style>
  <w:style w:type="paragraph" w:customStyle="1" w:styleId="16">
    <w:name w:val="样式1"/>
    <w:basedOn w:val="1"/>
    <w:qFormat/>
    <w:uiPriority w:val="0"/>
    <w:pPr>
      <w:widowControl/>
      <w:ind w:firstLine="0" w:firstLineChars="0"/>
      <w:jc w:val="center"/>
      <w:textAlignment w:val="center"/>
    </w:pPr>
    <w:rPr>
      <w:rFonts w:hint="eastAsia" w:ascii="仿宋_GB2312" w:hAnsi="仿宋_GB2312" w:cs="Times New Roman"/>
      <w:color w:val="000000"/>
      <w:kern w:val="0"/>
      <w:sz w:val="24"/>
      <w:szCs w:val="24"/>
    </w:rPr>
  </w:style>
  <w:style w:type="paragraph" w:customStyle="1" w:styleId="17">
    <w:name w:val="WPSOffice手动目录 1"/>
    <w:qFormat/>
    <w:uiPriority w:val="0"/>
    <w:pPr>
      <w:ind w:leftChars="0"/>
    </w:pPr>
    <w:rPr>
      <w:rFonts w:asciiTheme="minorHAnsi" w:hAnsiTheme="minorHAnsi" w:eastAsiaTheme="minorEastAsia" w:cstheme="minorBidi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984</Words>
  <Characters>1034</Characters>
  <Lines>0</Lines>
  <Paragraphs>0</Paragraphs>
  <TotalTime>3</TotalTime>
  <ScaleCrop>false</ScaleCrop>
  <LinksUpToDate>false</LinksUpToDate>
  <CharactersWithSpaces>1428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2018-07-23T07:11:00Z</dcterms:created>
  <dc:creator>d</dc:creator>
  <cp:lastModifiedBy>uos</cp:lastModifiedBy>
  <dcterms:modified xsi:type="dcterms:W3CDTF">2024-10-11T09:35:23Z</dcterms:modified>
  <dc:title>附件2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8CE0C375D431C599DB8008677DBDC844</vt:lpwstr>
  </property>
</Properties>
</file>