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lang w:eastAsia="zh-CN"/>
        </w:rPr>
        <w:t>深井</w:t>
      </w:r>
      <w:r>
        <w:rPr>
          <w:rFonts w:hint="eastAsia" w:ascii="华文中宋" w:hAnsi="华文中宋" w:eastAsia="华文中宋" w:cs="宋体"/>
          <w:color w:val="000000"/>
          <w:kern w:val="0"/>
          <w:sz w:val="36"/>
          <w:szCs w:val="28"/>
        </w:rPr>
        <w:t>镇基层政务公开标准目录</w:t>
      </w:r>
    </w:p>
    <w:p>
      <w:pPr>
        <w:jc w:val="center"/>
        <w:rPr>
          <w:rFonts w:ascii="华文中宋" w:hAnsi="华文中宋" w:eastAsia="华文中宋" w:cs="宋体"/>
          <w:color w:val="000000"/>
          <w:kern w:val="0"/>
          <w:sz w:val="36"/>
          <w:szCs w:val="28"/>
        </w:rPr>
      </w:pP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ascii="华文中宋" w:hAnsi="华文中宋" w:eastAsia="华文中宋" w:cs="宋体"/>
          <w:color w:val="000000"/>
          <w:sz w:val="36"/>
          <w:szCs w:val="28"/>
        </w:rPr>
        <w:fldChar w:fldCharType="begin"/>
      </w:r>
      <w:r>
        <w:rPr>
          <w:rFonts w:ascii="华文中宋" w:hAnsi="华文中宋" w:eastAsia="华文中宋" w:cs="宋体"/>
          <w:color w:val="000000"/>
          <w:sz w:val="36"/>
          <w:szCs w:val="28"/>
        </w:rPr>
        <w:instrText xml:space="preserve"> </w:instrText>
      </w:r>
      <w:r>
        <w:rPr>
          <w:rFonts w:hint="eastAsia" w:ascii="华文中宋" w:hAnsi="华文中宋" w:eastAsia="华文中宋" w:cs="宋体"/>
          <w:color w:val="000000"/>
          <w:sz w:val="36"/>
          <w:szCs w:val="28"/>
        </w:rPr>
        <w:instrText xml:space="preserve">TOC \o "1-1" \u</w:instrText>
      </w:r>
      <w:r>
        <w:rPr>
          <w:rFonts w:ascii="华文中宋" w:hAnsi="华文中宋" w:eastAsia="华文中宋" w:cs="宋体"/>
          <w:color w:val="000000"/>
          <w:sz w:val="36"/>
          <w:szCs w:val="28"/>
        </w:rPr>
        <w:instrText xml:space="preserve"> </w:instrText>
      </w:r>
      <w:r>
        <w:rPr>
          <w:rFonts w:ascii="华文中宋" w:hAnsi="华文中宋" w:eastAsia="华文中宋" w:cs="宋体"/>
          <w:color w:val="000000"/>
          <w:sz w:val="36"/>
          <w:szCs w:val="28"/>
        </w:rPr>
        <w:fldChar w:fldCharType="separate"/>
      </w: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一</w:t>
      </w:r>
      <w:r>
        <w:rPr>
          <w:rFonts w:hint="eastAsia" w:ascii="方正小标宋简体" w:hAnsi="方正小标宋简体" w:eastAsia="方正小标宋简体" w:cs="方正小标宋简体"/>
          <w:bCs w:val="0"/>
          <w:szCs w:val="36"/>
        </w:rPr>
        <w:t>）义务教育领域基层政务公开标准目录</w:t>
      </w:r>
      <w:r>
        <w:tab/>
      </w:r>
      <w:r>
        <w:fldChar w:fldCharType="begin"/>
      </w:r>
      <w:r>
        <w:instrText xml:space="preserve"> PAGEREF _Toc1281 \h </w:instrText>
      </w:r>
      <w:r>
        <w:fldChar w:fldCharType="separate"/>
      </w:r>
      <w:r>
        <w:t>2</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（二）社会救助领域基层政务公开标准目录</w:t>
      </w:r>
      <w:r>
        <w:tab/>
      </w:r>
      <w:r>
        <w:fldChar w:fldCharType="begin"/>
      </w:r>
      <w:r>
        <w:instrText xml:space="preserve"> PAGEREF _Toc21096 \h </w:instrText>
      </w:r>
      <w:r>
        <w:fldChar w:fldCharType="separate"/>
      </w:r>
      <w:r>
        <w:t>5</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（三）养老服务领域基层政务公开标准目录</w:t>
      </w:r>
      <w:r>
        <w:tab/>
      </w:r>
      <w:r>
        <w:fldChar w:fldCharType="begin"/>
      </w:r>
      <w:r>
        <w:instrText xml:space="preserve"> PAGEREF _Toc24460 \h </w:instrText>
      </w:r>
      <w:r>
        <w:fldChar w:fldCharType="separate"/>
      </w:r>
      <w:r>
        <w:t>8</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四</w:t>
      </w:r>
      <w:r>
        <w:rPr>
          <w:rFonts w:hint="eastAsia" w:ascii="方正小标宋简体" w:hAnsi="方正小标宋简体" w:eastAsia="方正小标宋简体" w:cs="方正小标宋简体"/>
          <w:bCs w:val="0"/>
          <w:szCs w:val="36"/>
        </w:rPr>
        <w:t>）公共法律服务领域基层政务公开标准目录</w:t>
      </w:r>
      <w:r>
        <w:tab/>
      </w:r>
      <w:r>
        <w:fldChar w:fldCharType="begin"/>
      </w:r>
      <w:r>
        <w:instrText xml:space="preserve"> PAGEREF _Toc21062 \h </w:instrText>
      </w:r>
      <w:r>
        <w:fldChar w:fldCharType="separate"/>
      </w:r>
      <w:r>
        <w:t>9</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五</w:t>
      </w:r>
      <w:r>
        <w:rPr>
          <w:rFonts w:hint="eastAsia" w:ascii="方正小标宋简体" w:hAnsi="方正小标宋简体" w:eastAsia="方正小标宋简体" w:cs="方正小标宋简体"/>
          <w:bCs w:val="0"/>
          <w:szCs w:val="36"/>
        </w:rPr>
        <w:t>）就业创业领域基层政务公开标准目录</w:t>
      </w:r>
      <w:r>
        <w:tab/>
      </w:r>
      <w:r>
        <w:fldChar w:fldCharType="begin"/>
      </w:r>
      <w:r>
        <w:instrText xml:space="preserve"> PAGEREF _Toc32022 \h </w:instrText>
      </w:r>
      <w:r>
        <w:fldChar w:fldCharType="separate"/>
      </w:r>
      <w:r>
        <w:t>13</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六</w:t>
      </w:r>
      <w:r>
        <w:rPr>
          <w:rFonts w:hint="eastAsia" w:ascii="方正小标宋简体" w:hAnsi="方正小标宋简体" w:eastAsia="方正小标宋简体" w:cs="方正小标宋简体"/>
          <w:bCs w:val="0"/>
          <w:szCs w:val="36"/>
        </w:rPr>
        <w:t>）社会保险领域基层政务公开标准目录</w:t>
      </w:r>
      <w:r>
        <w:tab/>
      </w:r>
      <w:r>
        <w:fldChar w:fldCharType="begin"/>
      </w:r>
      <w:r>
        <w:instrText xml:space="preserve"> PAGEREF _Toc16217 \h </w:instrText>
      </w:r>
      <w:r>
        <w:fldChar w:fldCharType="separate"/>
      </w:r>
      <w:r>
        <w:t>33</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（七）城乡规划领域基层政务公开标准目录</w:t>
      </w:r>
      <w:r>
        <w:tab/>
      </w:r>
      <w:r>
        <w:fldChar w:fldCharType="begin"/>
      </w:r>
      <w:r>
        <w:instrText xml:space="preserve"> PAGEREF _Toc3432 \h </w:instrText>
      </w:r>
      <w:r>
        <w:fldChar w:fldCharType="separate"/>
      </w:r>
      <w:r>
        <w:t>97</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（八）农村集体土地征收基层政务公开标准目录</w:t>
      </w:r>
      <w:r>
        <w:tab/>
      </w:r>
      <w:r>
        <w:fldChar w:fldCharType="begin"/>
      </w:r>
      <w:r>
        <w:instrText xml:space="preserve"> PAGEREF _Toc3555 \h </w:instrText>
      </w:r>
      <w:r>
        <w:fldChar w:fldCharType="separate"/>
      </w:r>
      <w:r>
        <w:t>98</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（九）生态环境领域基层政务公开标准目录</w:t>
      </w:r>
      <w:r>
        <w:tab/>
      </w:r>
      <w:r>
        <w:fldChar w:fldCharType="begin"/>
      </w:r>
      <w:r>
        <w:instrText xml:space="preserve"> PAGEREF _Toc4334 \h </w:instrText>
      </w:r>
      <w:r>
        <w:fldChar w:fldCharType="separate"/>
      </w:r>
      <w:r>
        <w:t>101</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（十）农村危房改造领域基层政务公开标准目录</w:t>
      </w:r>
      <w:r>
        <w:tab/>
      </w:r>
      <w:r>
        <w:fldChar w:fldCharType="begin"/>
      </w:r>
      <w:r>
        <w:instrText xml:space="preserve"> PAGEREF _Toc27910 \h </w:instrText>
      </w:r>
      <w:r>
        <w:fldChar w:fldCharType="separate"/>
      </w:r>
      <w:r>
        <w:t>102</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（十一）公共文化服务领域基层政务公开标准目录</w:t>
      </w:r>
      <w:r>
        <w:tab/>
      </w:r>
      <w:r>
        <w:fldChar w:fldCharType="begin"/>
      </w:r>
      <w:r>
        <w:instrText xml:space="preserve"> PAGEREF _Toc4355 \h </w:instrText>
      </w:r>
      <w:r>
        <w:fldChar w:fldCharType="separate"/>
      </w:r>
      <w:r>
        <w:t>108</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（十二）安全生产领域基层政务公开标准目录</w:t>
      </w:r>
      <w:r>
        <w:tab/>
      </w:r>
      <w:r>
        <w:fldChar w:fldCharType="begin"/>
      </w:r>
      <w:r>
        <w:instrText xml:space="preserve"> PAGEREF _Toc1135 \h </w:instrText>
      </w:r>
      <w:r>
        <w:fldChar w:fldCharType="separate"/>
      </w:r>
      <w:r>
        <w:t>111</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（十三）救灾领域基层政务公开标准目录</w:t>
      </w:r>
      <w:r>
        <w:tab/>
      </w:r>
      <w:r>
        <w:fldChar w:fldCharType="begin"/>
      </w:r>
      <w:r>
        <w:instrText xml:space="preserve"> PAGEREF _Toc13169 \h </w:instrText>
      </w:r>
      <w:r>
        <w:fldChar w:fldCharType="separate"/>
      </w:r>
      <w:r>
        <w:t>114</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（十四）食品药品监管领域基层政务公开标准目录</w:t>
      </w:r>
      <w:r>
        <w:tab/>
      </w:r>
      <w:r>
        <w:fldChar w:fldCharType="begin"/>
      </w:r>
      <w:r>
        <w:instrText xml:space="preserve"> PAGEREF _Toc21576 \h </w:instrText>
      </w:r>
      <w:r>
        <w:fldChar w:fldCharType="separate"/>
      </w:r>
      <w:r>
        <w:t>117</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十五</w:t>
      </w:r>
      <w:r>
        <w:rPr>
          <w:rFonts w:hint="eastAsia" w:ascii="方正小标宋简体" w:hAnsi="方正小标宋简体" w:eastAsia="方正小标宋简体" w:cs="方正小标宋简体"/>
          <w:bCs w:val="0"/>
          <w:szCs w:val="36"/>
        </w:rPr>
        <w:t>）扶贫领域基层政务公开标准目录</w:t>
      </w:r>
      <w:r>
        <w:tab/>
      </w:r>
      <w:r>
        <w:fldChar w:fldCharType="begin"/>
      </w:r>
      <w:r>
        <w:instrText xml:space="preserve"> PAGEREF _Toc19229 \h </w:instrText>
      </w:r>
      <w:r>
        <w:fldChar w:fldCharType="separate"/>
      </w:r>
      <w:r>
        <w:t>120</w:t>
      </w:r>
      <w:r>
        <w:fldChar w:fldCharType="end"/>
      </w:r>
    </w:p>
    <w:p>
      <w:pPr>
        <w:pStyle w:val="7"/>
        <w:keepNext w:val="0"/>
        <w:keepLines w:val="0"/>
        <w:pageBreakBefore w:val="0"/>
        <w:tabs>
          <w:tab w:val="right" w:leader="dot" w:pos="13958"/>
        </w:tabs>
        <w:kinsoku/>
        <w:wordWrap/>
        <w:overflowPunct/>
        <w:topLinePunct w:val="0"/>
        <w:autoSpaceDE/>
        <w:autoSpaceDN/>
        <w:bidi w:val="0"/>
        <w:adjustRightInd/>
        <w:snapToGrid/>
        <w:spacing w:line="400" w:lineRule="exact"/>
        <w:textAlignment w:val="auto"/>
      </w:pPr>
      <w:r>
        <w:rPr>
          <w:rFonts w:hint="eastAsia" w:ascii="方正小标宋简体" w:hAnsi="方正小标宋简体" w:eastAsia="方正小标宋简体" w:cs="方正小标宋简体"/>
          <w:bCs w:val="0"/>
          <w:szCs w:val="36"/>
          <w:lang w:val="en-US" w:eastAsia="zh-CN"/>
        </w:rPr>
        <w:t>（十六）城市综合执法领域基层政务公开标准目录</w:t>
      </w:r>
      <w:r>
        <w:tab/>
      </w:r>
      <w:r>
        <w:fldChar w:fldCharType="begin"/>
      </w:r>
      <w:r>
        <w:instrText xml:space="preserve"> PAGEREF _Toc29114 \h </w:instrText>
      </w:r>
      <w:r>
        <w:fldChar w:fldCharType="separate"/>
      </w:r>
      <w:r>
        <w:t>125</w:t>
      </w:r>
      <w: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rFonts w:ascii="华文中宋" w:hAnsi="华文中宋" w:eastAsia="华文中宋" w:cs="宋体"/>
          <w:color w:val="000000"/>
          <w:kern w:val="0"/>
          <w:sz w:val="36"/>
          <w:szCs w:val="28"/>
        </w:rPr>
        <w:sectPr>
          <w:footerReference r:id="rId3" w:type="default"/>
          <w:pgSz w:w="16838" w:h="11906" w:orient="landscape"/>
          <w:pgMar w:top="1080" w:right="1440" w:bottom="851" w:left="1440" w:header="851" w:footer="992" w:gutter="0"/>
          <w:pgNumType w:fmt="numberInDash" w:start="1"/>
          <w:cols w:space="425" w:num="1"/>
          <w:docGrid w:type="lines" w:linePitch="312" w:charSpace="0"/>
        </w:sectPr>
      </w:pPr>
      <w:r>
        <w:rPr>
          <w:rFonts w:ascii="华文中宋" w:hAnsi="华文中宋" w:eastAsia="华文中宋" w:cs="宋体"/>
          <w:color w:val="000000"/>
          <w:kern w:val="0"/>
          <w:szCs w:val="28"/>
        </w:rPr>
        <w:fldChar w:fldCharType="end"/>
      </w:r>
    </w:p>
    <w:tbl>
      <w:tblPr>
        <w:tblStyle w:val="9"/>
        <w:tblW w:w="15129" w:type="dxa"/>
        <w:tblInd w:w="-459" w:type="dxa"/>
        <w:tblLayout w:type="fixed"/>
        <w:tblCellMar>
          <w:top w:w="0" w:type="dxa"/>
          <w:left w:w="108" w:type="dxa"/>
          <w:bottom w:w="0" w:type="dxa"/>
          <w:right w:w="108" w:type="dxa"/>
        </w:tblCellMar>
      </w:tblPr>
      <w:tblGrid>
        <w:gridCol w:w="511"/>
        <w:gridCol w:w="752"/>
        <w:gridCol w:w="692"/>
        <w:gridCol w:w="1751"/>
        <w:gridCol w:w="2190"/>
        <w:gridCol w:w="899"/>
        <w:gridCol w:w="989"/>
        <w:gridCol w:w="1566"/>
        <w:gridCol w:w="829"/>
        <w:gridCol w:w="778"/>
        <w:gridCol w:w="1018"/>
        <w:gridCol w:w="640"/>
        <w:gridCol w:w="523"/>
        <w:gridCol w:w="573"/>
        <w:gridCol w:w="709"/>
        <w:gridCol w:w="709"/>
      </w:tblGrid>
      <w:tr>
        <w:tblPrEx>
          <w:tblCellMar>
            <w:top w:w="0" w:type="dxa"/>
            <w:left w:w="108" w:type="dxa"/>
            <w:bottom w:w="0" w:type="dxa"/>
            <w:right w:w="108" w:type="dxa"/>
          </w:tblCellMar>
        </w:tblPrEx>
        <w:trPr>
          <w:trHeight w:val="810" w:hRule="atLeast"/>
        </w:trPr>
        <w:tc>
          <w:tcPr>
            <w:tcW w:w="14420" w:type="dxa"/>
            <w:gridSpan w:val="15"/>
            <w:tcBorders>
              <w:top w:val="nil"/>
              <w:left w:val="nil"/>
              <w:bottom w:val="nil"/>
              <w:right w:val="nil"/>
            </w:tcBorders>
            <w:noWrap/>
            <w:vAlign w:val="center"/>
          </w:tcPr>
          <w:p>
            <w:pPr>
              <w:pStyle w:val="2"/>
              <w:bidi w:val="0"/>
              <w:jc w:val="center"/>
              <w:rPr>
                <w:rFonts w:ascii="方正小标宋简体" w:hAnsi="宋体" w:eastAsia="方正小标宋简体" w:cs="宋体"/>
                <w:color w:val="000000"/>
                <w:kern w:val="0"/>
                <w:szCs w:val="36"/>
              </w:rPr>
            </w:pPr>
            <w:bookmarkStart w:id="0" w:name="_Toc1281"/>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一</w:t>
            </w:r>
            <w:r>
              <w:rPr>
                <w:rFonts w:hint="eastAsia" w:ascii="方正小标宋简体" w:hAnsi="方正小标宋简体" w:eastAsia="方正小标宋简体" w:cs="方正小标宋简体"/>
                <w:b w:val="0"/>
                <w:bCs w:val="0"/>
                <w:sz w:val="36"/>
                <w:szCs w:val="36"/>
              </w:rPr>
              <w:t>）义务教育领域基层政务公开标准目录</w:t>
            </w:r>
            <w:bookmarkEnd w:id="0"/>
          </w:p>
        </w:tc>
        <w:tc>
          <w:tcPr>
            <w:tcW w:w="709" w:type="dxa"/>
            <w:tcBorders>
              <w:top w:val="nil"/>
              <w:left w:val="nil"/>
              <w:bottom w:val="nil"/>
              <w:right w:val="nil"/>
            </w:tcBorders>
            <w:noWrap w:val="0"/>
            <w:vAlign w:val="top"/>
          </w:tcPr>
          <w:p>
            <w:pPr>
              <w:widowControl/>
              <w:jc w:val="center"/>
              <w:rPr>
                <w:rFonts w:hint="eastAsia" w:ascii="方正小标宋简体" w:hAnsi="宋体" w:eastAsia="方正小标宋简体" w:cs="宋体"/>
                <w:color w:val="000000"/>
                <w:kern w:val="0"/>
                <w:sz w:val="36"/>
                <w:szCs w:val="36"/>
              </w:rPr>
            </w:pPr>
          </w:p>
        </w:tc>
      </w:tr>
      <w:tr>
        <w:tblPrEx>
          <w:tblCellMar>
            <w:top w:w="0" w:type="dxa"/>
            <w:left w:w="108" w:type="dxa"/>
            <w:bottom w:w="0" w:type="dxa"/>
            <w:right w:w="108" w:type="dxa"/>
          </w:tblCellMar>
        </w:tblPrEx>
        <w:trPr>
          <w:trHeight w:val="360" w:hRule="atLeast"/>
        </w:trPr>
        <w:tc>
          <w:tcPr>
            <w:tcW w:w="5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44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公开事项</w:t>
            </w:r>
          </w:p>
        </w:tc>
        <w:tc>
          <w:tcPr>
            <w:tcW w:w="17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公开内容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（要素）</w:t>
            </w:r>
          </w:p>
        </w:tc>
        <w:tc>
          <w:tcPr>
            <w:tcW w:w="21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公开依据</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时限</w:t>
            </w:r>
          </w:p>
        </w:tc>
        <w:tc>
          <w:tcPr>
            <w:tcW w:w="98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主体</w:t>
            </w:r>
          </w:p>
        </w:tc>
        <w:tc>
          <w:tcPr>
            <w:tcW w:w="156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公开渠道和载体</w:t>
            </w:r>
          </w:p>
        </w:tc>
        <w:tc>
          <w:tcPr>
            <w:tcW w:w="160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公开对象</w:t>
            </w:r>
          </w:p>
        </w:tc>
        <w:tc>
          <w:tcPr>
            <w:tcW w:w="165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公开方式</w:t>
            </w:r>
          </w:p>
        </w:tc>
        <w:tc>
          <w:tcPr>
            <w:tcW w:w="180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公开层级</w:t>
            </w:r>
          </w:p>
        </w:tc>
        <w:tc>
          <w:tcPr>
            <w:tcW w:w="709"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15"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rPr>
            </w:pPr>
          </w:p>
        </w:tc>
        <w:tc>
          <w:tcPr>
            <w:tcW w:w="75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一级事项</w:t>
            </w:r>
          </w:p>
        </w:tc>
        <w:tc>
          <w:tcPr>
            <w:tcW w:w="69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二级事项</w:t>
            </w: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21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98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0"/>
                <w:szCs w:val="20"/>
              </w:rPr>
            </w:pPr>
          </w:p>
        </w:tc>
        <w:tc>
          <w:tcPr>
            <w:tcW w:w="156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0"/>
                <w:szCs w:val="20"/>
              </w:rPr>
            </w:pPr>
          </w:p>
        </w:tc>
        <w:tc>
          <w:tcPr>
            <w:tcW w:w="82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全社会</w:t>
            </w:r>
          </w:p>
        </w:tc>
        <w:tc>
          <w:tcPr>
            <w:tcW w:w="77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特定群体</w:t>
            </w:r>
          </w:p>
        </w:tc>
        <w:tc>
          <w:tcPr>
            <w:tcW w:w="101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主动</w:t>
            </w:r>
          </w:p>
        </w:tc>
        <w:tc>
          <w:tcPr>
            <w:tcW w:w="6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依申请</w:t>
            </w:r>
          </w:p>
        </w:tc>
        <w:tc>
          <w:tcPr>
            <w:tcW w:w="52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市级</w:t>
            </w:r>
          </w:p>
        </w:tc>
        <w:tc>
          <w:tcPr>
            <w:tcW w:w="57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县级</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镇（街）级</w:t>
            </w:r>
          </w:p>
        </w:tc>
        <w:tc>
          <w:tcPr>
            <w:tcW w:w="709"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乡（村）级</w:t>
            </w:r>
          </w:p>
        </w:tc>
      </w:tr>
      <w:tr>
        <w:tblPrEx>
          <w:tblCellMar>
            <w:top w:w="0" w:type="dxa"/>
            <w:left w:w="108" w:type="dxa"/>
            <w:bottom w:w="0" w:type="dxa"/>
            <w:right w:w="108" w:type="dxa"/>
          </w:tblCellMar>
        </w:tblPrEx>
        <w:trPr>
          <w:trHeight w:val="1845" w:hRule="atLeast"/>
        </w:trPr>
        <w:tc>
          <w:tcPr>
            <w:tcW w:w="51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1</w:t>
            </w:r>
          </w:p>
        </w:tc>
        <w:tc>
          <w:tcPr>
            <w:tcW w:w="75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财务信息</w:t>
            </w: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财务信息</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1.年度经费预决算信息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2.收费项目及收费标准</w:t>
            </w:r>
          </w:p>
        </w:tc>
        <w:tc>
          <w:tcPr>
            <w:tcW w:w="219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《中华人民共和国政府信息公开条例》（国务院令第711号修订）</w:t>
            </w: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■江门市人民政府门户网站江门市教育局频道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p>
        </w:tc>
        <w:tc>
          <w:tcPr>
            <w:tcW w:w="82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108" w:type="dxa"/>
            <w:bottom w:w="0" w:type="dxa"/>
            <w:right w:w="108" w:type="dxa"/>
          </w:tblCellMar>
        </w:tblPrEx>
        <w:trPr>
          <w:trHeight w:val="1875" w:hRule="atLeast"/>
        </w:trPr>
        <w:tc>
          <w:tcPr>
            <w:tcW w:w="511"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2</w:t>
            </w:r>
          </w:p>
        </w:tc>
        <w:tc>
          <w:tcPr>
            <w:tcW w:w="75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招生管理</w:t>
            </w: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学校介绍</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1.办学性质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2.办学地点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3.办学规模、办学基本条件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4.联系方式等</w:t>
            </w:r>
          </w:p>
        </w:tc>
        <w:tc>
          <w:tcPr>
            <w:tcW w:w="219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1.《中华人民共和国政府信息公开条例》（国务院令第711号修订）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2.《教育部关于进一步做好小学升入初中免试就近入学工作的实施意见》（教基一[2014]1号）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3.《教育部关于推进中小学信息公开工作的意见》（教办[2010]15号）</w:t>
            </w: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spacing w:after="240"/>
              <w:jc w:val="center"/>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■江门市人民政府门户网站江门市教育局频道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p>
        </w:tc>
        <w:tc>
          <w:tcPr>
            <w:tcW w:w="82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7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108" w:type="dxa"/>
            <w:bottom w:w="0" w:type="dxa"/>
            <w:right w:w="108" w:type="dxa"/>
          </w:tblCellMar>
        </w:tblPrEx>
        <w:trPr>
          <w:trHeight w:val="2115" w:hRule="atLeast"/>
        </w:trPr>
        <w:tc>
          <w:tcPr>
            <w:tcW w:w="51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7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招生政策</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1.招生工作实施方案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2.随迁子女入学办法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3.部分适龄儿童或少年延缓入学、休学等特殊需求的政策解读等</w:t>
            </w:r>
          </w:p>
        </w:tc>
        <w:tc>
          <w:tcPr>
            <w:tcW w:w="21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0"/>
                <w:szCs w:val="20"/>
              </w:rPr>
            </w:pP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■江门市人民政府门户网站江门市教育局频道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p>
        </w:tc>
        <w:tc>
          <w:tcPr>
            <w:tcW w:w="82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7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9" w:type="dxa"/>
            <w:tcBorders>
              <w:top w:val="nil"/>
              <w:left w:val="nil"/>
              <w:bottom w:val="single" w:color="auto" w:sz="4" w:space="0"/>
              <w:right w:val="single" w:color="auto" w:sz="4" w:space="0"/>
            </w:tcBorders>
            <w:noWrap w:val="0"/>
            <w:vAlign w:val="top"/>
          </w:tcPr>
          <w:p>
            <w:pPr>
              <w:widowControl/>
              <w:jc w:val="center"/>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670" w:hRule="atLeast"/>
        </w:trPr>
        <w:tc>
          <w:tcPr>
            <w:tcW w:w="5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7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义务教育学生资助政策</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统一城乡义务教育“两免一补”政策</w:t>
            </w:r>
          </w:p>
        </w:tc>
        <w:tc>
          <w:tcPr>
            <w:tcW w:w="219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1.《中华人民共和国政府信息公开条例》（国务院令第711号修订）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2.《国务院关于进一步完善城乡义务教育经费保障机制的通知》国发〔2015〕67号</w:t>
            </w: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■江门市人民政府门户网站江门市教育局频道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■“江门教育”公众号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■各市、区官方公众号</w:t>
            </w:r>
          </w:p>
        </w:tc>
        <w:tc>
          <w:tcPr>
            <w:tcW w:w="82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p>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108" w:type="dxa"/>
            <w:bottom w:w="0" w:type="dxa"/>
            <w:right w:w="108" w:type="dxa"/>
          </w:tblCellMar>
        </w:tblPrEx>
        <w:trPr>
          <w:trHeight w:val="2775" w:hRule="atLeast"/>
        </w:trPr>
        <w:tc>
          <w:tcPr>
            <w:tcW w:w="5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7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学生评优奖励</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1.省市“三好学生”“优秀学生干部”评选标准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2.评比方法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3.表彰名单等</w:t>
            </w:r>
          </w:p>
        </w:tc>
        <w:tc>
          <w:tcPr>
            <w:tcW w:w="219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《中华人民共和国政府信息公开条例》（国务院令第711号修订）</w:t>
            </w: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■江门市人民政府门户网站江门市教育局频道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■“江门教育”公众号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■各市（区）官方公众号</w:t>
            </w:r>
          </w:p>
        </w:tc>
        <w:tc>
          <w:tcPr>
            <w:tcW w:w="82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78"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9" w:type="dxa"/>
            <w:tcBorders>
              <w:top w:val="nil"/>
              <w:left w:val="nil"/>
              <w:bottom w:val="single" w:color="auto" w:sz="4" w:space="0"/>
              <w:right w:val="single" w:color="auto" w:sz="4" w:space="0"/>
            </w:tcBorders>
            <w:noWrap w:val="0"/>
            <w:vAlign w:val="top"/>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5445" w:hRule="atLeast"/>
        </w:trPr>
        <w:tc>
          <w:tcPr>
            <w:tcW w:w="5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0"/>
                <w:szCs w:val="20"/>
              </w:rPr>
            </w:pPr>
          </w:p>
        </w:tc>
        <w:tc>
          <w:tcPr>
            <w:tcW w:w="75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教师职称评审</w:t>
            </w:r>
          </w:p>
        </w:tc>
        <w:tc>
          <w:tcPr>
            <w:tcW w:w="175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1.评审政策</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2.评审通知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3.学校拟推荐人选名单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4.评审结果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5.最终结果</w:t>
            </w:r>
          </w:p>
        </w:tc>
        <w:tc>
          <w:tcPr>
            <w:tcW w:w="219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1.《中华人民共和国政府信息公开条例》（国务院令第711号修订）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2.《人力资源社会保障部教育部关于印发深化中小学教师职称制度改革的指导意见的通知》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3.《关于印发〈广东省深化中小学教师职称制度改革实施方案〉的通知》（粤人社规〔2016〕5号）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4.《关于做好2020年度职称评审工作的通知》（粤人社发〔2020〕142号）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5.《关于做好2020年度职称评审、初次职称认定工作的通知》（江人社发〔2020〕208号）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6.《关于做好2020年度中小学教师职称评审、初次职称考核认定工作的通知》（江人社发〔2020〕226号）</w:t>
            </w:r>
          </w:p>
        </w:tc>
        <w:tc>
          <w:tcPr>
            <w:tcW w:w="89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信息形成或者变更之日起20个工作日内</w:t>
            </w:r>
          </w:p>
        </w:tc>
        <w:tc>
          <w:tcPr>
            <w:tcW w:w="989"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江门市教育局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、各市（区）教育局</w:t>
            </w:r>
          </w:p>
        </w:tc>
        <w:tc>
          <w:tcPr>
            <w:tcW w:w="1566" w:type="dxa"/>
            <w:tcBorders>
              <w:top w:val="nil"/>
              <w:left w:val="nil"/>
              <w:bottom w:val="single" w:color="auto" w:sz="4" w:space="0"/>
              <w:right w:val="single" w:color="auto" w:sz="4" w:space="0"/>
            </w:tcBorders>
            <w:noWrap w:val="0"/>
            <w:vAlign w:val="center"/>
          </w:tcPr>
          <w:p>
            <w:pPr>
              <w:widowControl/>
              <w:spacing w:after="240"/>
              <w:jc w:val="left"/>
              <w:rPr>
                <w:rFonts w:ascii="仿宋" w:hAnsi="仿宋" w:eastAsia="仿宋" w:cs="宋体"/>
                <w:kern w:val="0"/>
                <w:sz w:val="20"/>
                <w:szCs w:val="20"/>
              </w:rPr>
            </w:pPr>
            <w:r>
              <w:rPr>
                <w:rFonts w:hint="eastAsia" w:ascii="仿宋" w:hAnsi="仿宋" w:eastAsia="仿宋" w:cs="宋体"/>
                <w:kern w:val="0"/>
                <w:sz w:val="20"/>
                <w:szCs w:val="20"/>
              </w:rPr>
              <w:t xml:space="preserve">■江门市人民政府门户网站江门市教育局频道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■各市（区）人民政府门户网站教育频道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■“江门教育”公众号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■各市、区官方公众号</w:t>
            </w:r>
          </w:p>
        </w:tc>
        <w:tc>
          <w:tcPr>
            <w:tcW w:w="82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教师</w:t>
            </w:r>
          </w:p>
        </w:tc>
        <w:tc>
          <w:tcPr>
            <w:tcW w:w="101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64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57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w:t>
            </w:r>
          </w:p>
        </w:tc>
      </w:tr>
    </w:tbl>
    <w:p>
      <w:pPr>
        <w:rPr>
          <w:rFonts w:ascii="Calibri" w:hAnsi="Calibri" w:eastAsia="宋体" w:cs="Times New Roman"/>
        </w:rPr>
      </w:pPr>
    </w:p>
    <w:p/>
    <w:p/>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 w:name="_Toc24724708"/>
      <w:bookmarkStart w:id="2" w:name="_Toc21096"/>
      <w:r>
        <w:rPr>
          <w:rFonts w:hint="eastAsia" w:ascii="方正小标宋简体" w:hAnsi="方正小标宋简体" w:eastAsia="方正小标宋简体" w:cs="方正小标宋简体"/>
          <w:b w:val="0"/>
          <w:bCs w:val="0"/>
          <w:sz w:val="36"/>
          <w:szCs w:val="36"/>
          <w:lang w:val="en-US" w:eastAsia="zh-CN"/>
        </w:rPr>
        <w:t>（二）社会救助领域基层政务公开标准目录</w:t>
      </w:r>
      <w:bookmarkEnd w:id="1"/>
      <w:bookmarkEnd w:id="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eastAsia="宋体" w:cs="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街道、乡镇级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社会救助综合业务</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《社会救助暂行办法》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各地配套政策法规文件</w:t>
            </w:r>
          </w:p>
        </w:tc>
        <w:tc>
          <w:tcPr>
            <w:tcW w:w="25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监督</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检查</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社会救助信访通讯地址</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社会救助投诉举报电话</w:t>
            </w:r>
          </w:p>
        </w:tc>
        <w:tc>
          <w:tcPr>
            <w:tcW w:w="25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3</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最低生活保障</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4</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最低生活保障</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初审对象名单及相关信息  </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制定或获取信息之日起10个工作日内，公示7个工作日</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   信息</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低保对象名单及相关信息</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特困人员救助供养</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8</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办理事项、办理条件、救助供养标准、申请材料、办理流程、办理时间、地点、联系方式 </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9</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特困人员救助供养</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初审对象名单及相关信息、终止供养名单</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制定或获取信息之日起10个工作日内，公示7个工作日</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10</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   信息</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特困人员名单及相关信息</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11</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临时救助</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12</w:t>
            </w:r>
          </w:p>
        </w:tc>
        <w:tc>
          <w:tcPr>
            <w:tcW w:w="720" w:type="dxa"/>
            <w:vMerge w:val="restart"/>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临时救助</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办理事项、办理条件、救助标准、申请材料、办理流程、办理时间、地点、联系方式 </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13</w:t>
            </w:r>
          </w:p>
        </w:tc>
        <w:tc>
          <w:tcPr>
            <w:tcW w:w="720" w:type="dxa"/>
            <w:vMerge w:val="continue"/>
            <w:shd w:val="clear" w:color="auto" w:fill="auto"/>
            <w:vAlign w:val="center"/>
          </w:tcPr>
          <w:p>
            <w:pP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审批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支出型临时救助对象名单、救助金额、救助事由 </w:t>
            </w:r>
          </w:p>
        </w:tc>
        <w:tc>
          <w:tcPr>
            <w:tcW w:w="25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《国务院关于全面建立临时救助制度的通知》、各地相关政策法规文件</w:t>
            </w:r>
          </w:p>
        </w:tc>
        <w:tc>
          <w:tcPr>
            <w:tcW w:w="144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jc w:val="center"/>
        <w:rPr>
          <w:rFonts w:ascii="Times New Roman" w:hAnsi="Times New Roman" w:eastAsia="方正小标宋_GBK" w:cs="Times New Roman"/>
          <w:sz w:val="28"/>
          <w:szCs w:val="28"/>
        </w:rPr>
      </w:pPr>
    </w:p>
    <w:p>
      <w:pPr>
        <w:rPr>
          <w:rFonts w:ascii="Calibri" w:hAnsi="Calibri" w:eastAsia="宋体" w:cs="Times New Roma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3" w:name="_Toc24724709"/>
      <w:bookmarkStart w:id="4" w:name="_Toc24460"/>
      <w:r>
        <w:rPr>
          <w:rFonts w:hint="eastAsia" w:ascii="方正小标宋简体" w:hAnsi="方正小标宋简体" w:eastAsia="方正小标宋简体" w:cs="方正小标宋简体"/>
          <w:b w:val="0"/>
          <w:bCs w:val="0"/>
          <w:sz w:val="36"/>
          <w:szCs w:val="36"/>
          <w:lang w:val="en-US" w:eastAsia="zh-CN"/>
        </w:rPr>
        <w:t>（三）养老服务领域基层政务公开标准目录</w:t>
      </w:r>
      <w:bookmarkEnd w:id="3"/>
      <w:bookmarkEnd w:id="4"/>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739"/>
        <w:gridCol w:w="1843"/>
        <w:gridCol w:w="1538"/>
        <w:gridCol w:w="872"/>
        <w:gridCol w:w="1842"/>
        <w:gridCol w:w="526"/>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39"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3" w:type="dxa"/>
            <w:vMerge w:val="restart"/>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8"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7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842" w:type="dxa"/>
            <w:vMerge w:val="restart"/>
            <w:shd w:val="clear" w:color="auto" w:fill="auto"/>
            <w:vAlign w:val="center"/>
          </w:tcPr>
          <w:p>
            <w:pPr>
              <w:widowControl/>
              <w:jc w:val="center"/>
              <w:rPr>
                <w:ins w:id="0" w:author="徐国华" w:date="2020-10-27T16:13:00Z"/>
                <w:rFonts w:ascii="黑体" w:hAnsi="宋体" w:eastAsia="黑体" w:cs="宋体"/>
                <w:kern w:val="0"/>
                <w:sz w:val="22"/>
              </w:rPr>
            </w:pPr>
            <w:r>
              <w:rPr>
                <w:rFonts w:hint="eastAsia" w:ascii="黑体" w:hAnsi="宋体" w:eastAsia="黑体" w:cs="宋体"/>
                <w:kern w:val="0"/>
                <w:sz w:val="22"/>
              </w:rPr>
              <w:t>公开渠道</w:t>
            </w:r>
          </w:p>
          <w:p>
            <w:pPr>
              <w:widowControl/>
              <w:jc w:val="center"/>
              <w:rPr>
                <w:rFonts w:ascii="黑体" w:hAnsi="宋体" w:eastAsia="黑体" w:cs="宋体"/>
                <w:kern w:val="0"/>
                <w:sz w:val="22"/>
              </w:rPr>
            </w:pPr>
            <w:r>
              <w:rPr>
                <w:rFonts w:hint="eastAsia" w:ascii="黑体" w:hAnsi="宋体" w:eastAsia="黑体" w:cs="宋体"/>
                <w:kern w:val="0"/>
                <w:sz w:val="22"/>
              </w:rPr>
              <w:t>和载体</w:t>
            </w:r>
          </w:p>
        </w:tc>
        <w:tc>
          <w:tcPr>
            <w:tcW w:w="1235"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vAlign w:val="center"/>
          </w:tcPr>
          <w:p>
            <w:pPr>
              <w:widowControl w:val="0"/>
              <w:jc w:val="both"/>
              <w:rPr>
                <w:rFonts w:ascii="Times New Roman" w:hAnsi="Times New Roman" w:eastAsia="宋体" w:cs="Times New Roman"/>
                <w:color w:val="000000"/>
                <w:kern w:val="0"/>
                <w:sz w:val="22"/>
                <w:szCs w:val="22"/>
                <w:lang w:val="en-US" w:eastAsia="zh-CN" w:bidi="ar-SA"/>
              </w:rPr>
              <w:pPrChange w:id="1" w:author="徐国华" w:date="2020-10-27T16:02:00Z">
                <w:pPr>
                  <w:widowControl/>
                  <w:jc w:val="left"/>
                </w:pPr>
              </w:pPrChange>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39" w:type="dxa"/>
            <w:vMerge w:val="continue"/>
            <w:vAlign w:val="center"/>
          </w:tcPr>
          <w:p>
            <w:pPr>
              <w:widowControl w:val="0"/>
              <w:jc w:val="center"/>
              <w:rPr>
                <w:rFonts w:ascii="黑体" w:hAnsi="宋体" w:eastAsia="黑体" w:cs="宋体"/>
                <w:color w:val="000000"/>
                <w:kern w:val="0"/>
                <w:sz w:val="22"/>
                <w:szCs w:val="22"/>
                <w:lang w:val="en-US" w:eastAsia="zh-CN" w:bidi="ar-SA"/>
              </w:rPr>
              <w:pPrChange w:id="2" w:author="徐国华" w:date="2020-10-27T16:12:00Z">
                <w:pPr>
                  <w:widowControl/>
                  <w:jc w:val="left"/>
                </w:pPr>
              </w:pPrChange>
            </w:pPr>
          </w:p>
        </w:tc>
        <w:tc>
          <w:tcPr>
            <w:tcW w:w="1843" w:type="dxa"/>
            <w:vMerge w:val="continue"/>
            <w:vAlign w:val="center"/>
          </w:tcPr>
          <w:p>
            <w:pPr>
              <w:widowControl w:val="0"/>
              <w:jc w:val="center"/>
              <w:rPr>
                <w:rFonts w:ascii="黑体" w:hAnsi="宋体" w:eastAsia="黑体" w:cs="宋体"/>
                <w:color w:val="000000"/>
                <w:kern w:val="0"/>
                <w:sz w:val="22"/>
                <w:szCs w:val="22"/>
                <w:lang w:val="en-US" w:eastAsia="zh-CN" w:bidi="ar-SA"/>
              </w:rPr>
              <w:pPrChange w:id="3" w:author="徐国华" w:date="2020-10-27T16:12:00Z">
                <w:pPr>
                  <w:widowControl/>
                  <w:jc w:val="left"/>
                </w:pPr>
              </w:pPrChange>
            </w:pPr>
          </w:p>
        </w:tc>
        <w:tc>
          <w:tcPr>
            <w:tcW w:w="1538" w:type="dxa"/>
            <w:vMerge w:val="continue"/>
            <w:vAlign w:val="center"/>
          </w:tcPr>
          <w:p>
            <w:pPr>
              <w:widowControl w:val="0"/>
              <w:jc w:val="center"/>
              <w:rPr>
                <w:rFonts w:ascii="黑体" w:hAnsi="宋体" w:eastAsia="黑体" w:cs="宋体"/>
                <w:color w:val="000000"/>
                <w:kern w:val="0"/>
                <w:sz w:val="22"/>
                <w:szCs w:val="22"/>
                <w:lang w:val="en-US" w:eastAsia="zh-CN" w:bidi="ar-SA"/>
              </w:rPr>
              <w:pPrChange w:id="4" w:author="徐国华" w:date="2020-10-27T16:12:00Z">
                <w:pPr>
                  <w:widowControl/>
                  <w:jc w:val="left"/>
                </w:pPr>
              </w:pPrChange>
            </w:pPr>
          </w:p>
        </w:tc>
        <w:tc>
          <w:tcPr>
            <w:tcW w:w="872" w:type="dxa"/>
            <w:vMerge w:val="continue"/>
            <w:vAlign w:val="center"/>
          </w:tcPr>
          <w:p>
            <w:pPr>
              <w:widowControl w:val="0"/>
              <w:jc w:val="center"/>
              <w:rPr>
                <w:rFonts w:ascii="黑体" w:hAnsi="宋体" w:eastAsia="黑体" w:cs="宋体"/>
                <w:color w:val="000000"/>
                <w:kern w:val="0"/>
                <w:sz w:val="22"/>
                <w:szCs w:val="22"/>
                <w:lang w:val="en-US" w:eastAsia="zh-CN" w:bidi="ar-SA"/>
              </w:rPr>
              <w:pPrChange w:id="5" w:author="徐国华" w:date="2020-10-27T16:12:00Z">
                <w:pPr>
                  <w:widowControl/>
                  <w:jc w:val="left"/>
                </w:pPr>
              </w:pPrChange>
            </w:pPr>
          </w:p>
        </w:tc>
        <w:tc>
          <w:tcPr>
            <w:tcW w:w="1842" w:type="dxa"/>
            <w:vMerge w:val="continue"/>
            <w:vAlign w:val="center"/>
          </w:tcPr>
          <w:p>
            <w:pPr>
              <w:widowControl w:val="0"/>
              <w:jc w:val="center"/>
              <w:rPr>
                <w:rFonts w:ascii="黑体" w:hAnsi="宋体" w:eastAsia="黑体" w:cs="宋体"/>
                <w:kern w:val="0"/>
                <w:sz w:val="22"/>
                <w:szCs w:val="22"/>
                <w:lang w:val="en-US" w:eastAsia="zh-CN" w:bidi="ar-SA"/>
              </w:rPr>
              <w:pPrChange w:id="6" w:author="徐国华" w:date="2020-10-27T16:12:00Z">
                <w:pPr>
                  <w:widowControl/>
                  <w:jc w:val="left"/>
                </w:pPr>
              </w:pPrChange>
            </w:pPr>
          </w:p>
        </w:tc>
        <w:tc>
          <w:tcPr>
            <w:tcW w:w="52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1</w:t>
            </w:r>
          </w:p>
        </w:tc>
        <w:tc>
          <w:tcPr>
            <w:tcW w:w="72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养老服务业务办 理</w:t>
            </w:r>
          </w:p>
        </w:tc>
        <w:tc>
          <w:tcPr>
            <w:tcW w:w="1440" w:type="dxa"/>
            <w:shd w:val="clear" w:color="auto" w:fill="auto"/>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w:t>
            </w:r>
          </w:p>
        </w:tc>
        <w:tc>
          <w:tcPr>
            <w:tcW w:w="2739"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43"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538" w:type="dxa"/>
            <w:vAlign w:val="center"/>
          </w:tcPr>
          <w:p>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制定或获取补贴政策之日起10个工作日内</w:t>
            </w:r>
          </w:p>
        </w:tc>
        <w:tc>
          <w:tcPr>
            <w:tcW w:w="872" w:type="dxa"/>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民政部门、各镇（街道）</w:t>
            </w:r>
          </w:p>
        </w:tc>
        <w:tc>
          <w:tcPr>
            <w:tcW w:w="1842" w:type="dxa"/>
            <w:vAlign w:val="center"/>
          </w:tcPr>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                                                                                                                                                                                                 </w:t>
            </w:r>
          </w:p>
          <w:p>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■村（居）公示栏</w:t>
            </w:r>
          </w:p>
        </w:tc>
        <w:tc>
          <w:tcPr>
            <w:tcW w:w="526"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pPr>
              <w:jc w:val="center"/>
              <w:rPr>
                <w:rFonts w:ascii="仿宋_GB2312" w:hAnsi="宋体" w:eastAsia="仿宋_GB2312" w:cs="Times New Roman"/>
                <w:color w:val="000000"/>
                <w:sz w:val="18"/>
                <w:szCs w:val="18"/>
              </w:rPr>
            </w:pPr>
          </w:p>
        </w:tc>
        <w:tc>
          <w:tcPr>
            <w:tcW w:w="551"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jc w:val="left"/>
        <w:rPr>
          <w:rFonts w:ascii="Calibri" w:hAnsi="Calibri" w:eastAsia="宋体" w:cs="Times New Roma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rPr>
      </w:pPr>
      <w:bookmarkStart w:id="5" w:name="_Toc21062"/>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四</w:t>
      </w:r>
      <w:r>
        <w:rPr>
          <w:rFonts w:hint="eastAsia" w:ascii="方正小标宋简体" w:hAnsi="方正小标宋简体" w:eastAsia="方正小标宋简体" w:cs="方正小标宋简体"/>
          <w:b w:val="0"/>
          <w:bCs w:val="0"/>
          <w:sz w:val="36"/>
          <w:szCs w:val="36"/>
        </w:rPr>
        <w:t>）公共法律服务领域基层政务公开标准目录</w:t>
      </w:r>
      <w:bookmarkEnd w:id="5"/>
    </w:p>
    <w:p>
      <w:pPr>
        <w:rPr>
          <w:rFonts w:ascii="Calibri" w:hAnsi="Calibri" w:eastAsia="宋体" w:cs="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3544"/>
        <w:gridCol w:w="1134"/>
        <w:gridCol w:w="1276"/>
        <w:gridCol w:w="1193"/>
        <w:gridCol w:w="650"/>
        <w:gridCol w:w="1100"/>
        <w:gridCol w:w="867"/>
        <w:gridCol w:w="600"/>
        <w:gridCol w:w="633"/>
        <w:gridCol w:w="627"/>
        <w:gridCol w:w="56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黑体" w:hAnsi="黑体" w:eastAsia="黑体" w:cs="黑体"/>
              </w:rPr>
            </w:pPr>
            <w:r>
              <w:rPr>
                <w:rFonts w:hint="eastAsia" w:ascii="黑体" w:hAnsi="黑体" w:eastAsia="黑体" w:cs="黑体"/>
              </w:rPr>
              <w:t>序号</w:t>
            </w:r>
          </w:p>
        </w:tc>
        <w:tc>
          <w:tcPr>
            <w:tcW w:w="4252" w:type="dxa"/>
            <w:gridSpan w:val="2"/>
            <w:vAlign w:val="center"/>
          </w:tcPr>
          <w:p>
            <w:pPr>
              <w:jc w:val="center"/>
              <w:rPr>
                <w:rFonts w:ascii="黑体" w:hAnsi="黑体" w:eastAsia="黑体" w:cs="黑体"/>
              </w:rPr>
            </w:pPr>
            <w:r>
              <w:rPr>
                <w:rFonts w:hint="eastAsia" w:ascii="黑体" w:hAnsi="黑体" w:eastAsia="黑体" w:cs="黑体"/>
              </w:rPr>
              <w:t>公开事项</w:t>
            </w:r>
          </w:p>
        </w:tc>
        <w:tc>
          <w:tcPr>
            <w:tcW w:w="1134" w:type="dxa"/>
            <w:vMerge w:val="restart"/>
            <w:vAlign w:val="center"/>
          </w:tcPr>
          <w:p>
            <w:pPr>
              <w:jc w:val="center"/>
              <w:rPr>
                <w:rFonts w:ascii="黑体" w:hAnsi="黑体" w:eastAsia="黑体" w:cs="黑体"/>
              </w:rPr>
            </w:pPr>
            <w:r>
              <w:rPr>
                <w:rFonts w:hint="eastAsia" w:ascii="黑体" w:hAnsi="黑体" w:eastAsia="黑体" w:cs="黑体"/>
              </w:rPr>
              <w:t>公开内容（要素）</w:t>
            </w:r>
          </w:p>
        </w:tc>
        <w:tc>
          <w:tcPr>
            <w:tcW w:w="1276" w:type="dxa"/>
            <w:vMerge w:val="restart"/>
            <w:vAlign w:val="center"/>
          </w:tcPr>
          <w:p>
            <w:pPr>
              <w:jc w:val="center"/>
              <w:rPr>
                <w:rFonts w:ascii="黑体" w:hAnsi="黑体" w:eastAsia="黑体" w:cs="黑体"/>
              </w:rPr>
            </w:pPr>
            <w:r>
              <w:rPr>
                <w:rFonts w:hint="eastAsia" w:ascii="黑体" w:hAnsi="黑体" w:eastAsia="黑体" w:cs="黑体"/>
              </w:rPr>
              <w:t>公开依据</w:t>
            </w:r>
          </w:p>
        </w:tc>
        <w:tc>
          <w:tcPr>
            <w:tcW w:w="1193" w:type="dxa"/>
            <w:vMerge w:val="restart"/>
            <w:vAlign w:val="center"/>
          </w:tcPr>
          <w:p>
            <w:pPr>
              <w:jc w:val="center"/>
              <w:rPr>
                <w:rFonts w:ascii="黑体" w:hAnsi="黑体" w:eastAsia="黑体" w:cs="黑体"/>
              </w:rPr>
            </w:pPr>
            <w:r>
              <w:rPr>
                <w:rFonts w:hint="eastAsia" w:ascii="黑体" w:hAnsi="黑体" w:eastAsia="黑体" w:cs="黑体"/>
              </w:rPr>
              <w:t>公开时限</w:t>
            </w:r>
          </w:p>
        </w:tc>
        <w:tc>
          <w:tcPr>
            <w:tcW w:w="650" w:type="dxa"/>
            <w:vMerge w:val="restart"/>
            <w:vAlign w:val="center"/>
          </w:tcPr>
          <w:p>
            <w:pPr>
              <w:jc w:val="center"/>
              <w:rPr>
                <w:rFonts w:ascii="黑体" w:hAnsi="黑体" w:eastAsia="黑体" w:cs="黑体"/>
              </w:rPr>
            </w:pPr>
            <w:r>
              <w:rPr>
                <w:rFonts w:hint="eastAsia" w:ascii="黑体" w:hAnsi="黑体" w:eastAsia="黑体" w:cs="黑体"/>
              </w:rPr>
              <w:t>公开</w:t>
            </w:r>
          </w:p>
          <w:p>
            <w:pPr>
              <w:jc w:val="center"/>
              <w:rPr>
                <w:rFonts w:ascii="黑体" w:hAnsi="黑体" w:eastAsia="黑体" w:cs="黑体"/>
              </w:rPr>
            </w:pPr>
            <w:r>
              <w:rPr>
                <w:rFonts w:hint="eastAsia" w:ascii="黑体" w:hAnsi="黑体" w:eastAsia="黑体" w:cs="黑体"/>
              </w:rPr>
              <w:t>主体</w:t>
            </w:r>
          </w:p>
        </w:tc>
        <w:tc>
          <w:tcPr>
            <w:tcW w:w="1100" w:type="dxa"/>
            <w:vMerge w:val="restart"/>
            <w:vAlign w:val="center"/>
          </w:tcPr>
          <w:p>
            <w:pPr>
              <w:jc w:val="center"/>
              <w:rPr>
                <w:rFonts w:ascii="黑体" w:hAnsi="黑体" w:eastAsia="黑体" w:cs="黑体"/>
              </w:rPr>
            </w:pPr>
            <w:r>
              <w:rPr>
                <w:rFonts w:hint="eastAsia" w:ascii="黑体" w:hAnsi="黑体" w:eastAsia="黑体" w:cs="黑体"/>
              </w:rPr>
              <w:t>公开渠道和载体</w:t>
            </w:r>
          </w:p>
        </w:tc>
        <w:tc>
          <w:tcPr>
            <w:tcW w:w="1467" w:type="dxa"/>
            <w:gridSpan w:val="2"/>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公开对象</w:t>
            </w:r>
          </w:p>
        </w:tc>
        <w:tc>
          <w:tcPr>
            <w:tcW w:w="1260" w:type="dxa"/>
            <w:gridSpan w:val="2"/>
            <w:vAlign w:val="center"/>
          </w:tcPr>
          <w:p>
            <w:pPr>
              <w:jc w:val="center"/>
              <w:rPr>
                <w:rFonts w:ascii="黑体" w:hAnsi="黑体" w:eastAsia="黑体" w:cs="黑体"/>
              </w:rPr>
            </w:pPr>
            <w:r>
              <w:rPr>
                <w:rFonts w:hint="eastAsia" w:ascii="黑体" w:hAnsi="黑体" w:eastAsia="黑体" w:cs="黑体"/>
                <w:color w:val="000000"/>
                <w:sz w:val="18"/>
                <w:szCs w:val="18"/>
              </w:rPr>
              <w:t>公开方式</w:t>
            </w:r>
          </w:p>
        </w:tc>
        <w:tc>
          <w:tcPr>
            <w:tcW w:w="1984" w:type="dxa"/>
            <w:gridSpan w:val="3"/>
            <w:vAlign w:val="center"/>
          </w:tcPr>
          <w:p>
            <w:pPr>
              <w:jc w:val="center"/>
              <w:rPr>
                <w:rFonts w:ascii="黑体" w:hAnsi="黑体" w:eastAsia="黑体" w:cs="黑体"/>
              </w:rPr>
            </w:pPr>
            <w:r>
              <w:rPr>
                <w:rFonts w:hint="eastAsia" w:ascii="黑体" w:hAnsi="黑体" w:eastAsia="黑体" w:cs="黑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黑体" w:hAnsi="黑体" w:eastAsia="黑体" w:cs="黑体"/>
              </w:rPr>
            </w:pPr>
          </w:p>
        </w:tc>
        <w:tc>
          <w:tcPr>
            <w:tcW w:w="708"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一级事项</w:t>
            </w:r>
          </w:p>
        </w:tc>
        <w:tc>
          <w:tcPr>
            <w:tcW w:w="3544"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二级事项</w:t>
            </w:r>
          </w:p>
        </w:tc>
        <w:tc>
          <w:tcPr>
            <w:tcW w:w="1134" w:type="dxa"/>
            <w:vMerge w:val="continue"/>
            <w:vAlign w:val="center"/>
          </w:tcPr>
          <w:p>
            <w:pPr>
              <w:jc w:val="center"/>
              <w:rPr>
                <w:rFonts w:ascii="黑体" w:hAnsi="黑体" w:eastAsia="黑体" w:cs="黑体"/>
              </w:rPr>
            </w:pPr>
          </w:p>
        </w:tc>
        <w:tc>
          <w:tcPr>
            <w:tcW w:w="1276" w:type="dxa"/>
            <w:vMerge w:val="continue"/>
            <w:vAlign w:val="center"/>
          </w:tcPr>
          <w:p>
            <w:pPr>
              <w:jc w:val="center"/>
              <w:rPr>
                <w:rFonts w:ascii="黑体" w:hAnsi="黑体" w:eastAsia="黑体" w:cs="黑体"/>
              </w:rPr>
            </w:pPr>
          </w:p>
        </w:tc>
        <w:tc>
          <w:tcPr>
            <w:tcW w:w="1193" w:type="dxa"/>
            <w:vMerge w:val="continue"/>
            <w:vAlign w:val="center"/>
          </w:tcPr>
          <w:p>
            <w:pPr>
              <w:jc w:val="center"/>
              <w:rPr>
                <w:rFonts w:ascii="黑体" w:hAnsi="黑体" w:eastAsia="黑体" w:cs="黑体"/>
              </w:rPr>
            </w:pPr>
          </w:p>
        </w:tc>
        <w:tc>
          <w:tcPr>
            <w:tcW w:w="650" w:type="dxa"/>
            <w:vMerge w:val="continue"/>
            <w:vAlign w:val="center"/>
          </w:tcPr>
          <w:p>
            <w:pPr>
              <w:jc w:val="center"/>
              <w:rPr>
                <w:rFonts w:ascii="黑体" w:hAnsi="黑体" w:eastAsia="黑体" w:cs="黑体"/>
              </w:rPr>
            </w:pPr>
          </w:p>
        </w:tc>
        <w:tc>
          <w:tcPr>
            <w:tcW w:w="1100" w:type="dxa"/>
            <w:vMerge w:val="continue"/>
            <w:vAlign w:val="center"/>
          </w:tcPr>
          <w:p>
            <w:pPr>
              <w:jc w:val="center"/>
              <w:rPr>
                <w:rFonts w:ascii="黑体" w:hAnsi="黑体" w:eastAsia="黑体" w:cs="黑体"/>
              </w:rPr>
            </w:pPr>
          </w:p>
        </w:tc>
        <w:tc>
          <w:tcPr>
            <w:tcW w:w="86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全社会</w:t>
            </w:r>
          </w:p>
        </w:tc>
        <w:tc>
          <w:tcPr>
            <w:tcW w:w="600"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特定群众</w:t>
            </w:r>
          </w:p>
        </w:tc>
        <w:tc>
          <w:tcPr>
            <w:tcW w:w="633"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主动</w:t>
            </w:r>
          </w:p>
        </w:tc>
        <w:tc>
          <w:tcPr>
            <w:tcW w:w="62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依申请公开</w:t>
            </w:r>
          </w:p>
        </w:tc>
        <w:tc>
          <w:tcPr>
            <w:tcW w:w="567"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县级</w:t>
            </w:r>
          </w:p>
        </w:tc>
        <w:tc>
          <w:tcPr>
            <w:tcW w:w="709"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镇、街级</w:t>
            </w:r>
          </w:p>
        </w:tc>
        <w:tc>
          <w:tcPr>
            <w:tcW w:w="708" w:type="dxa"/>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1</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3544" w:type="dxa"/>
            <w:vAlign w:val="center"/>
          </w:tcPr>
          <w:p>
            <w:pPr>
              <w:jc w:val="left"/>
              <w:rPr>
                <w:rFonts w:ascii="宋体" w:hAnsi="宋体" w:eastAsia="宋体" w:cs="宋体"/>
                <w:sz w:val="18"/>
                <w:szCs w:val="18"/>
              </w:rPr>
            </w:pPr>
            <w:r>
              <w:rPr>
                <w:rFonts w:hint="eastAsia" w:ascii="宋体" w:hAnsi="宋体" w:eastAsia="宋体" w:cs="Times New Roman"/>
                <w:sz w:val="18"/>
                <w:szCs w:val="18"/>
              </w:rPr>
              <w:t>法律知识普及服务</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法律法规资讯；普法动态资讯；普法讲师团信息等</w:t>
            </w:r>
          </w:p>
        </w:tc>
        <w:tc>
          <w:tcPr>
            <w:tcW w:w="1276"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93"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FF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2</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3544" w:type="dxa"/>
            <w:vAlign w:val="center"/>
          </w:tcPr>
          <w:p>
            <w:pPr>
              <w:jc w:val="left"/>
              <w:rPr>
                <w:rFonts w:ascii="宋体" w:hAnsi="宋体" w:eastAsia="宋体" w:cs="宋体"/>
                <w:sz w:val="18"/>
                <w:szCs w:val="18"/>
              </w:rPr>
            </w:pPr>
            <w:r>
              <w:rPr>
                <w:rFonts w:hint="eastAsia" w:ascii="宋体" w:hAnsi="宋体" w:eastAsia="宋体" w:cs="Times New Roman"/>
                <w:sz w:val="18"/>
                <w:szCs w:val="18"/>
              </w:rPr>
              <w:t>推广法治文化服务</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辖区内法治文化阵地信息；法治文化作品、产品</w:t>
            </w:r>
          </w:p>
        </w:tc>
        <w:tc>
          <w:tcPr>
            <w:tcW w:w="1276"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93"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FF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2</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3544" w:type="dxa"/>
            <w:vAlign w:val="center"/>
          </w:tcPr>
          <w:p>
            <w:pPr>
              <w:jc w:val="left"/>
              <w:rPr>
                <w:rFonts w:ascii="宋体" w:hAnsi="宋体" w:eastAsia="宋体" w:cs="宋体"/>
                <w:sz w:val="18"/>
                <w:szCs w:val="18"/>
              </w:rPr>
            </w:pPr>
            <w:r>
              <w:rPr>
                <w:rFonts w:hint="eastAsia" w:ascii="宋体" w:hAnsi="宋体" w:eastAsia="宋体" w:cs="Times New Roman"/>
                <w:sz w:val="18"/>
                <w:szCs w:val="18"/>
              </w:rPr>
              <w:t>对在法治宣传教育工作中做出显著成绩的单位和个人进行表彰奖励</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评选表彰通知；先进集体和个人申报表（空白表）；拟表彰的先进集体先进个人名单；表彰决定</w:t>
            </w:r>
          </w:p>
        </w:tc>
        <w:tc>
          <w:tcPr>
            <w:tcW w:w="1276"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193"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3</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br w:type="textWrapping"/>
            </w:r>
            <w:r>
              <w:rPr>
                <w:rFonts w:hint="eastAsia" w:ascii="宋体" w:hAnsi="宋体" w:eastAsia="宋体" w:cs="Times New Roman"/>
                <w:sz w:val="18"/>
                <w:szCs w:val="18"/>
              </w:rPr>
              <w:t>社区矫正机构</w:t>
            </w:r>
          </w:p>
        </w:tc>
        <w:tc>
          <w:tcPr>
            <w:tcW w:w="3544" w:type="dxa"/>
            <w:vAlign w:val="center"/>
          </w:tcPr>
          <w:p>
            <w:pPr>
              <w:jc w:val="left"/>
              <w:rPr>
                <w:rFonts w:ascii="宋体" w:hAnsi="宋体" w:eastAsia="宋体" w:cs="宋体"/>
                <w:sz w:val="18"/>
                <w:szCs w:val="18"/>
              </w:rPr>
            </w:pPr>
            <w:r>
              <w:rPr>
                <w:rFonts w:hint="eastAsia" w:ascii="宋体" w:hAnsi="宋体" w:eastAsia="宋体" w:cs="Times New Roman"/>
                <w:sz w:val="18"/>
                <w:szCs w:val="18"/>
              </w:rPr>
              <w:br w:type="textWrapping"/>
            </w:r>
            <w:r>
              <w:rPr>
                <w:rFonts w:hint="eastAsia" w:ascii="宋体" w:hAnsi="宋体" w:eastAsia="宋体" w:cs="Times New Roman"/>
                <w:sz w:val="18"/>
                <w:szCs w:val="18"/>
              </w:rPr>
              <w:t>社区矫正机构查询</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br w:type="textWrapping"/>
            </w:r>
            <w:r>
              <w:rPr>
                <w:rFonts w:hint="eastAsia" w:ascii="宋体" w:hAnsi="宋体" w:eastAsia="宋体" w:cs="Times New Roman"/>
                <w:sz w:val="18"/>
                <w:szCs w:val="18"/>
              </w:rPr>
              <w:t>社区矫正机构查询方式</w:t>
            </w:r>
          </w:p>
        </w:tc>
        <w:tc>
          <w:tcPr>
            <w:tcW w:w="1276"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《广东省司法厅主要职责内设机构和人员编制规定》</w:t>
            </w:r>
          </w:p>
        </w:tc>
        <w:tc>
          <w:tcPr>
            <w:tcW w:w="1193"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自制作或获取该信息之日起1个工作日内公开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■江门市司法局网站（外网）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sz w:val="18"/>
                <w:szCs w:val="18"/>
              </w:rPr>
            </w:pPr>
          </w:p>
        </w:tc>
        <w:tc>
          <w:tcPr>
            <w:tcW w:w="633"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709"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4</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戒毒机构信息</w:t>
            </w:r>
          </w:p>
        </w:tc>
        <w:tc>
          <w:tcPr>
            <w:tcW w:w="3544" w:type="dxa"/>
            <w:vAlign w:val="center"/>
          </w:tcPr>
          <w:p>
            <w:pPr>
              <w:jc w:val="left"/>
              <w:rPr>
                <w:rFonts w:ascii="宋体" w:hAnsi="宋体" w:eastAsia="宋体" w:cs="宋体"/>
                <w:sz w:val="18"/>
                <w:szCs w:val="18"/>
              </w:rPr>
            </w:pPr>
            <w:r>
              <w:rPr>
                <w:rFonts w:hint="eastAsia" w:ascii="宋体" w:hAnsi="宋体" w:eastAsia="宋体" w:cs="Times New Roman"/>
                <w:sz w:val="18"/>
                <w:szCs w:val="18"/>
              </w:rPr>
              <w:t>戒毒机构信息查询</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戒毒机构信息查询方式</w:t>
            </w:r>
          </w:p>
        </w:tc>
        <w:tc>
          <w:tcPr>
            <w:tcW w:w="1276" w:type="dxa"/>
            <w:vAlign w:val="center"/>
          </w:tcPr>
          <w:p>
            <w:pPr>
              <w:jc w:val="left"/>
              <w:rPr>
                <w:rFonts w:ascii="宋体" w:hAnsi="宋体" w:eastAsia="宋体" w:cs="宋体"/>
                <w:sz w:val="18"/>
                <w:szCs w:val="18"/>
              </w:rPr>
            </w:pPr>
            <w:r>
              <w:rPr>
                <w:rFonts w:hint="eastAsia" w:ascii="宋体" w:hAnsi="宋体" w:eastAsia="宋体" w:cs="Times New Roman"/>
                <w:sz w:val="18"/>
                <w:szCs w:val="18"/>
              </w:rPr>
              <w:t>《中华人民共和国政府信息公开条例》(2008年)</w:t>
            </w:r>
          </w:p>
        </w:tc>
        <w:tc>
          <w:tcPr>
            <w:tcW w:w="1193" w:type="dxa"/>
            <w:vAlign w:val="center"/>
          </w:tcPr>
          <w:p>
            <w:pPr>
              <w:jc w:val="left"/>
              <w:rPr>
                <w:rFonts w:ascii="宋体" w:hAnsi="宋体" w:eastAsia="宋体" w:cs="宋体"/>
                <w:sz w:val="18"/>
                <w:szCs w:val="18"/>
              </w:rPr>
            </w:pPr>
            <w:r>
              <w:rPr>
                <w:rFonts w:hint="eastAsia" w:ascii="宋体" w:hAnsi="宋体" w:eastAsia="宋体" w:cs="Times New Roman"/>
                <w:sz w:val="18"/>
                <w:szCs w:val="18"/>
              </w:rPr>
              <w:t>自制作或获取该信息之日起1个工作日内公开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■江门市司法局网站（外网）</w:t>
            </w:r>
          </w:p>
        </w:tc>
        <w:tc>
          <w:tcPr>
            <w:tcW w:w="8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pPr>
              <w:jc w:val="center"/>
              <w:rPr>
                <w:rFonts w:ascii="宋体" w:hAnsi="宋体" w:eastAsia="宋体" w:cs="宋体"/>
                <w:sz w:val="18"/>
                <w:szCs w:val="18"/>
              </w:rPr>
            </w:pPr>
          </w:p>
        </w:tc>
        <w:tc>
          <w:tcPr>
            <w:tcW w:w="633"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709"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5</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基层法律服务工作者执业申请</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不予受理通知书</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■精准推送</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6</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基层法律服务工作者执业机构变更</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《基层法律服务工作者转所执业登记表》空白表</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7</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基层法律服务工作者注销</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注销基层法律服务工作者执业证行政许可决定书</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8</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基层法律服务所信息查询</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基层法律服务所有关基本信息等</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《政府信息公开条例》</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Times New Roman"/>
                <w:sz w:val="18"/>
                <w:szCs w:val="18"/>
                <w:lang w:val="en-US" w:eastAsia="zh-CN"/>
              </w:rPr>
              <w:t>9</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人民调解</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br w:type="textWrapping"/>
            </w:r>
            <w:r>
              <w:rPr>
                <w:rFonts w:hint="eastAsia" w:ascii="宋体" w:hAnsi="宋体" w:eastAsia="宋体" w:cs="Times New Roman"/>
                <w:color w:val="000000"/>
                <w:sz w:val="18"/>
                <w:szCs w:val="18"/>
              </w:rPr>
              <w:t>人民调解组织信息查询</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人民调解等法律服务机构和人员有关基本信息</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《政府信息公开条例》</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Times New Roman"/>
                <w:sz w:val="18"/>
                <w:szCs w:val="18"/>
                <w:lang w:val="en-US" w:eastAsia="zh-CN"/>
              </w:rPr>
              <w:t>10</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人民调解</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人民调解工作信息查询</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人民调解委员会以及人员组成和调整有关基本信息</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《中华人民共和国人民调解法》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Times New Roman"/>
                <w:sz w:val="18"/>
                <w:szCs w:val="18"/>
                <w:lang w:val="en-US" w:eastAsia="zh-CN"/>
              </w:rPr>
              <w:t>11</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基层法律服务工作者信息查询</w:t>
            </w:r>
          </w:p>
        </w:tc>
        <w:tc>
          <w:tcPr>
            <w:tcW w:w="113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基层法律服务工作者相关基本信息</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Times New Roman"/>
                <w:sz w:val="18"/>
                <w:szCs w:val="18"/>
                <w:lang w:val="en-US" w:eastAsia="zh-CN"/>
              </w:rPr>
              <w:t>12</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对基层法律服务工作者向受援人收取财物、牟取其他不正当利益的行为的行政处罚</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行政处罚决定或行政处罚决定书</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Times New Roman"/>
                <w:sz w:val="18"/>
                <w:szCs w:val="18"/>
                <w:lang w:val="en-US" w:eastAsia="zh-CN"/>
              </w:rPr>
              <w:t>13</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对基层法律服务所超越业务范围和诉讼代理执业区域其他行为的行政处罚收起</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行政处罚决定或行政处罚决定书</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《基层法律服务所管理办法》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08"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基层法律服务</w:t>
            </w:r>
          </w:p>
        </w:tc>
        <w:tc>
          <w:tcPr>
            <w:tcW w:w="3544"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对基层法律服务工作者超越业务范围和诉讼代理执业区域其他行为的行政处罚收起</w:t>
            </w:r>
          </w:p>
        </w:tc>
        <w:tc>
          <w:tcPr>
            <w:tcW w:w="1134" w:type="dxa"/>
            <w:vAlign w:val="center"/>
          </w:tcPr>
          <w:p>
            <w:pPr>
              <w:jc w:val="left"/>
              <w:rPr>
                <w:rFonts w:ascii="宋体" w:hAnsi="宋体" w:eastAsia="宋体" w:cs="宋体"/>
                <w:sz w:val="18"/>
                <w:szCs w:val="18"/>
              </w:rPr>
            </w:pPr>
            <w:r>
              <w:rPr>
                <w:rFonts w:hint="eastAsia" w:ascii="宋体" w:hAnsi="宋体" w:eastAsia="宋体" w:cs="Times New Roman"/>
                <w:sz w:val="18"/>
                <w:szCs w:val="18"/>
              </w:rPr>
              <w:t>行政处罚决定或行政处罚决定书</w:t>
            </w:r>
          </w:p>
        </w:tc>
        <w:tc>
          <w:tcPr>
            <w:tcW w:w="1276"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《基层法律服务工作者管理办法》</w:t>
            </w:r>
          </w:p>
        </w:tc>
        <w:tc>
          <w:tcPr>
            <w:tcW w:w="1193" w:type="dxa"/>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自制作或获取该信息之日起20个工作日内公开</w:t>
            </w:r>
          </w:p>
        </w:tc>
        <w:tc>
          <w:tcPr>
            <w:tcW w:w="650" w:type="dxa"/>
            <w:vAlign w:val="center"/>
          </w:tcPr>
          <w:p>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100" w:type="dxa"/>
            <w:vAlign w:val="center"/>
          </w:tcPr>
          <w:p>
            <w:pPr>
              <w:jc w:val="left"/>
              <w:rPr>
                <w:rFonts w:ascii="宋体" w:hAnsi="宋体" w:eastAsia="宋体" w:cs="宋体"/>
                <w:sz w:val="18"/>
                <w:szCs w:val="18"/>
              </w:rPr>
            </w:pPr>
            <w:r>
              <w:rPr>
                <w:rFonts w:hint="eastAsia" w:ascii="宋体" w:hAnsi="宋体" w:eastAsia="宋体" w:cs="Times New Roman"/>
                <w:sz w:val="18"/>
                <w:szCs w:val="18"/>
              </w:rPr>
              <w:t>■广东省行政执法信息公示平台</w:t>
            </w:r>
          </w:p>
        </w:tc>
        <w:tc>
          <w:tcPr>
            <w:tcW w:w="8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00"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33"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pPr>
              <w:jc w:val="center"/>
              <w:rPr>
                <w:rFonts w:ascii="宋体" w:hAnsi="宋体" w:eastAsia="宋体" w:cs="宋体"/>
                <w:sz w:val="18"/>
                <w:szCs w:val="18"/>
              </w:rPr>
            </w:pPr>
          </w:p>
        </w:tc>
      </w:tr>
    </w:tbl>
    <w:p>
      <w:pPr>
        <w:rPr>
          <w:rFonts w:hint="eastAsia" w:eastAsiaTheme="minorEastAsia"/>
          <w:lang w:val="en-US" w:eastAsia="zh-CN"/>
        </w:rPr>
      </w:pPr>
    </w:p>
    <w:tbl>
      <w:tblPr>
        <w:tblStyle w:val="9"/>
        <w:tblW w:w="5274" w:type="pct"/>
        <w:tblInd w:w="0" w:type="dxa"/>
        <w:tblLayout w:type="autofit"/>
        <w:tblCellMar>
          <w:top w:w="0" w:type="dxa"/>
          <w:left w:w="0" w:type="dxa"/>
          <w:bottom w:w="0" w:type="dxa"/>
          <w:right w:w="0" w:type="dxa"/>
        </w:tblCellMar>
      </w:tblPr>
      <w:tblGrid>
        <w:gridCol w:w="510"/>
        <w:gridCol w:w="1030"/>
        <w:gridCol w:w="704"/>
        <w:gridCol w:w="1244"/>
        <w:gridCol w:w="3629"/>
        <w:gridCol w:w="812"/>
        <w:gridCol w:w="1071"/>
        <w:gridCol w:w="3296"/>
        <w:gridCol w:w="366"/>
        <w:gridCol w:w="369"/>
        <w:gridCol w:w="354"/>
        <w:gridCol w:w="366"/>
        <w:gridCol w:w="493"/>
        <w:gridCol w:w="511"/>
      </w:tblGrid>
      <w:tr>
        <w:tblPrEx>
          <w:tblCellMar>
            <w:top w:w="0" w:type="dxa"/>
            <w:left w:w="0" w:type="dxa"/>
            <w:bottom w:w="0" w:type="dxa"/>
            <w:right w:w="0" w:type="dxa"/>
          </w:tblCellMar>
        </w:tblPrEx>
        <w:trPr>
          <w:trHeight w:val="1476" w:hRule="atLeast"/>
        </w:trPr>
        <w:tc>
          <w:tcPr>
            <w:tcW w:w="5000" w:type="pct"/>
            <w:gridSpan w:val="14"/>
            <w:tcBorders>
              <w:top w:val="nil"/>
              <w:left w:val="nil"/>
              <w:bottom w:val="single" w:color="auto" w:sz="4" w:space="0"/>
              <w:right w:val="nil"/>
            </w:tcBorders>
            <w:shd w:val="clear" w:color="auto" w:fill="auto"/>
            <w:noWrap/>
            <w:tcMar>
              <w:top w:w="15" w:type="dxa"/>
              <w:left w:w="15" w:type="dxa"/>
              <w:right w:w="15" w:type="dxa"/>
            </w:tcMar>
            <w:vAlign w:val="center"/>
          </w:tcPr>
          <w:p>
            <w:pPr>
              <w:pStyle w:val="2"/>
              <w:bidi w:val="0"/>
              <w:jc w:val="center"/>
              <w:rPr>
                <w:rFonts w:ascii="方正小标宋简体" w:hAnsi="方正小标宋简体" w:eastAsia="方正小标宋简体" w:cs="方正小标宋简体"/>
                <w:color w:val="000000"/>
                <w:kern w:val="0"/>
                <w:szCs w:val="48"/>
              </w:rPr>
            </w:pPr>
            <w:bookmarkStart w:id="6" w:name="_Toc32022"/>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五</w:t>
            </w:r>
            <w:r>
              <w:rPr>
                <w:rFonts w:hint="eastAsia" w:ascii="方正小标宋简体" w:hAnsi="方正小标宋简体" w:eastAsia="方正小标宋简体" w:cs="方正小标宋简体"/>
                <w:b w:val="0"/>
                <w:bCs w:val="0"/>
                <w:sz w:val="36"/>
                <w:szCs w:val="36"/>
              </w:rPr>
              <w:t>）就业创业领域基层政务公开标准目录</w:t>
            </w:r>
            <w:bookmarkEnd w:id="6"/>
          </w:p>
        </w:tc>
      </w:tr>
      <w:tr>
        <w:tblPrEx>
          <w:tblCellMar>
            <w:top w:w="0" w:type="dxa"/>
            <w:left w:w="0" w:type="dxa"/>
            <w:bottom w:w="0" w:type="dxa"/>
            <w:right w:w="0" w:type="dxa"/>
          </w:tblCellMar>
        </w:tblPrEx>
        <w:trPr>
          <w:trHeight w:val="284" w:hRule="atLeast"/>
        </w:trPr>
        <w:tc>
          <w:tcPr>
            <w:tcW w:w="172"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序号</w:t>
            </w:r>
          </w:p>
        </w:tc>
        <w:tc>
          <w:tcPr>
            <w:tcW w:w="58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公开事项</w:t>
            </w:r>
          </w:p>
        </w:tc>
        <w:tc>
          <w:tcPr>
            <w:tcW w:w="42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公开内容</w:t>
            </w:r>
            <w:r>
              <w:rPr>
                <w:rFonts w:hint="eastAsia" w:ascii="黑体" w:hAnsi="宋体" w:eastAsia="黑体" w:cs="黑体"/>
                <w:kern w:val="0"/>
                <w:sz w:val="24"/>
                <w:szCs w:val="18"/>
              </w:rPr>
              <w:br w:type="textWrapping"/>
            </w:r>
            <w:r>
              <w:rPr>
                <w:rFonts w:hint="eastAsia" w:ascii="黑体" w:hAnsi="宋体" w:eastAsia="黑体" w:cs="黑体"/>
                <w:kern w:val="0"/>
                <w:sz w:val="24"/>
                <w:szCs w:val="18"/>
              </w:rPr>
              <w:t>（要素）</w:t>
            </w:r>
          </w:p>
        </w:tc>
        <w:tc>
          <w:tcPr>
            <w:tcW w:w="123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公开依据</w:t>
            </w:r>
          </w:p>
        </w:tc>
        <w:tc>
          <w:tcPr>
            <w:tcW w:w="27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公开时限</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公开主体</w:t>
            </w:r>
          </w:p>
        </w:tc>
        <w:tc>
          <w:tcPr>
            <w:tcW w:w="1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公开渠道和载体</w:t>
            </w:r>
          </w:p>
        </w:tc>
        <w:tc>
          <w:tcPr>
            <w:tcW w:w="24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公开对象</w:t>
            </w:r>
          </w:p>
        </w:tc>
        <w:tc>
          <w:tcPr>
            <w:tcW w:w="24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公开方式</w:t>
            </w: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公开层级</w:t>
            </w:r>
          </w:p>
        </w:tc>
      </w:tr>
      <w:tr>
        <w:tblPrEx>
          <w:tblCellMar>
            <w:top w:w="0" w:type="dxa"/>
            <w:left w:w="0" w:type="dxa"/>
            <w:bottom w:w="0" w:type="dxa"/>
            <w:right w:w="0" w:type="dxa"/>
          </w:tblCellMar>
        </w:tblPrEx>
        <w:trPr>
          <w:trHeight w:val="1437" w:hRule="atLeast"/>
        </w:trPr>
        <w:tc>
          <w:tcPr>
            <w:tcW w:w="172"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ascii="黑体" w:hAnsi="宋体" w:eastAsia="黑体" w:cs="黑体"/>
                <w:kern w:val="0"/>
                <w:sz w:val="24"/>
                <w:szCs w:val="18"/>
              </w:rPr>
            </w:pP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kern w:val="0"/>
                <w:sz w:val="24"/>
                <w:szCs w:val="18"/>
              </w:rPr>
            </w:pPr>
            <w:r>
              <w:rPr>
                <w:rFonts w:hint="eastAsia" w:ascii="黑体" w:hAnsi="宋体" w:eastAsia="黑体" w:cs="黑体"/>
                <w:kern w:val="0"/>
                <w:sz w:val="24"/>
                <w:szCs w:val="18"/>
              </w:rPr>
              <w:t>一级</w:t>
            </w:r>
          </w:p>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事项</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kern w:val="0"/>
                <w:sz w:val="24"/>
                <w:szCs w:val="18"/>
              </w:rPr>
            </w:pPr>
            <w:r>
              <w:rPr>
                <w:rFonts w:hint="eastAsia" w:ascii="黑体" w:hAnsi="宋体" w:eastAsia="黑体" w:cs="黑体"/>
                <w:kern w:val="0"/>
                <w:sz w:val="24"/>
                <w:szCs w:val="18"/>
              </w:rPr>
              <w:t>二级</w:t>
            </w:r>
          </w:p>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事项</w:t>
            </w:r>
          </w:p>
        </w:tc>
        <w:tc>
          <w:tcPr>
            <w:tcW w:w="42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18"/>
              </w:rPr>
            </w:pPr>
          </w:p>
        </w:tc>
        <w:tc>
          <w:tcPr>
            <w:tcW w:w="123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18"/>
              </w:rPr>
            </w:p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18"/>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18"/>
              </w:rPr>
            </w:pPr>
          </w:p>
        </w:tc>
        <w:tc>
          <w:tcPr>
            <w:tcW w:w="1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18"/>
              </w:rPr>
            </w:pP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全社会</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特定群体</w:t>
            </w: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主动</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依申请</w:t>
            </w: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县级</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乡级</w:t>
            </w:r>
          </w:p>
        </w:tc>
      </w:tr>
      <w:tr>
        <w:tblPrEx>
          <w:tblCellMar>
            <w:top w:w="0" w:type="dxa"/>
            <w:left w:w="0" w:type="dxa"/>
            <w:bottom w:w="0" w:type="dxa"/>
            <w:right w:w="0" w:type="dxa"/>
          </w:tblCellMar>
        </w:tblPrEx>
        <w:trPr>
          <w:trHeight w:val="729"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1.就业信息服务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1.1就业创业政策法规</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1.就业创业政策项目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3.政策申请条件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4.政策申请材料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3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1.2岗位信息发布</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1.招聘单位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2.岗位要求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3.福利待遇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1.3求职信息登记</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1.4职业培训信息发布</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1.培训项目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3.培训内容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4.培训课时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5.授课地点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7.报名材料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8.报名地点（方式）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5</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2.职业介绍、职业指导</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2.1职业介绍</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2.2职业指导</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7</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2.3创业开业指导</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8</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3.公共就业服务专项活动</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3.1公共就业服务专项活动</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1.活动通知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2.活动时间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3.参与方式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4.相关材料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5.活动地址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9</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4.就业失业登记</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4.1失业登记</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2.申请人权利和义务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4.2就业登记</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2.办理条件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3.办理材料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398"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4.3《就业创业证》申领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2.证件使用注意事项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3.申领条件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4.申领材料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8.证件送达方式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5.创业服务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5.1创业培训补贴申领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95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5.2一次性创业资助申领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5.3租金补贴申领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95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5.4创业带动就业补贴申领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550"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5.创业服务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5.5创业孵化补贴申领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3.《人力资源市场暂行条例》（中华人民共和国国务院令第700号）4.《广东省实施〈中华人民共和国就业促进法〉办法》（2009年11月31日广东省第十一届人民代表大会常务委员会第十四次会议通过）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5.6创业担保贷款申请</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3.贷款额度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6.对就业困难人员（含建档立卡贫困劳动力）实施就业援助</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6.1就业困难人员认定</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6.对就业困难人员（含建档立卡贫困劳动力）实施就业援助</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6.2就业困难人员社会保险补贴申领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6.3一般性岗位补贴申领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978"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6.4公益性岗位补贴申领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6.5公益性岗位社保个人缴费补贴申领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6.对就业困难人员（含建档立卡贫困劳动力）实施就业援助</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6.6求职创业补贴申领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6.7吸纳建档立卡贫困劳动力就业补助和省级示范性就业扶贫基地补助申领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3.奖补标准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7.高校毕业生就业服务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7.1高等学校等毕业生接收手续办理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3.办理条件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4.办理材料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7.2吸纳应届高校毕业生社保补贴申领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7.高校毕业生就业服务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7.3应届高校毕业生到基层就业补贴申领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7.4高校毕业生基层就业岗位补贴申领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7.5求职创业补贴申领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7.6高校毕业生职业培训补贴申领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31</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7.高校毕业生就业服务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7.7就业见习补贴申领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978"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32</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7.8就业见习生活费补贴申领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7.9见习留用补贴申领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8.流动人员人事档案管理服务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8.1流动人员人事档案管理服务</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023"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35</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9.其他补贴申领服务</w:t>
            </w: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9.1职业介绍补贴申领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9.2劳动力职业技能提升补贴申领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96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37</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9.3灵活就业社会保险补贴申领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3.《人力资源市场暂行条例》（中华人民共和国国务院令第700号）4.《广东省实施〈中华人民共和国就业促进法〉办法》（2009年11月32日广东省第十一届人民代表大会常务委员会第十四次会议通过）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38</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9.4员工制家家政服务企业社会保险补贴（试点）和省级家庭服务培训示范基地补助申领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公开事项信息形成或变更之日起21个工作日内公开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39</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2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9.5省内（省际）劳务协作和就业扶贫服务补助申领</w:t>
            </w:r>
          </w:p>
        </w:tc>
        <w:tc>
          <w:tcPr>
            <w:tcW w:w="4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CellMar>
            <w:top w:w="0" w:type="dxa"/>
            <w:left w:w="0" w:type="dxa"/>
            <w:bottom w:w="0" w:type="dxa"/>
            <w:right w:w="0" w:type="dxa"/>
          </w:tblCellMar>
        </w:tblPrEx>
        <w:trPr>
          <w:trHeight w:val="267" w:hRule="atLeast"/>
          <w:hidden/>
        </w:trPr>
        <w:tc>
          <w:tcPr>
            <w:tcW w:w="172"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349"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239"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422"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230"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275"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363"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117"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24"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25"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20"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23"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67" w:type="pct"/>
            <w:shd w:val="clear" w:color="auto" w:fill="auto"/>
            <w:vAlign w:val="center"/>
          </w:tcPr>
          <w:p>
            <w:pPr>
              <w:widowControl/>
              <w:jc w:val="left"/>
              <w:rPr>
                <w:rFonts w:ascii="宋体" w:hAnsi="宋体" w:eastAsia="宋体" w:cs="Times New Roman"/>
                <w:vanish/>
                <w:kern w:val="0"/>
                <w:sz w:val="24"/>
                <w:szCs w:val="24"/>
              </w:rPr>
            </w:pPr>
          </w:p>
        </w:tc>
        <w:tc>
          <w:tcPr>
            <w:tcW w:w="168" w:type="pct"/>
            <w:shd w:val="clear" w:color="auto" w:fill="auto"/>
            <w:vAlign w:val="center"/>
          </w:tcPr>
          <w:p>
            <w:pPr>
              <w:widowControl/>
              <w:jc w:val="left"/>
              <w:rPr>
                <w:rFonts w:ascii="宋体" w:hAnsi="宋体" w:eastAsia="宋体" w:cs="Times New Roman"/>
                <w:vanish/>
                <w:kern w:val="0"/>
                <w:sz w:val="24"/>
                <w:szCs w:val="24"/>
              </w:rPr>
            </w:pPr>
          </w:p>
        </w:tc>
      </w:tr>
    </w:tbl>
    <w:p>
      <w:pPr>
        <w:widowControl/>
        <w:jc w:val="left"/>
        <w:rPr>
          <w:rFonts w:ascii="宋体" w:hAnsi="宋体" w:eastAsia="宋体" w:cs="Times New Roman"/>
          <w:kern w:val="0"/>
          <w:sz w:val="24"/>
          <w:szCs w:val="24"/>
        </w:rPr>
      </w:pPr>
    </w:p>
    <w:tbl>
      <w:tblPr>
        <w:tblStyle w:val="9"/>
        <w:tblW w:w="5000" w:type="pct"/>
        <w:tblInd w:w="0" w:type="dxa"/>
        <w:tblLayout w:type="autofit"/>
        <w:tblCellMar>
          <w:top w:w="0" w:type="dxa"/>
          <w:left w:w="0" w:type="dxa"/>
          <w:bottom w:w="0" w:type="dxa"/>
          <w:right w:w="0" w:type="dxa"/>
        </w:tblCellMar>
      </w:tblPr>
      <w:tblGrid>
        <w:gridCol w:w="330"/>
        <w:gridCol w:w="416"/>
        <w:gridCol w:w="749"/>
        <w:gridCol w:w="682"/>
        <w:gridCol w:w="1857"/>
        <w:gridCol w:w="4607"/>
        <w:gridCol w:w="1006"/>
        <w:gridCol w:w="665"/>
        <w:gridCol w:w="1887"/>
        <w:gridCol w:w="270"/>
        <w:gridCol w:w="318"/>
        <w:gridCol w:w="270"/>
        <w:gridCol w:w="271"/>
        <w:gridCol w:w="271"/>
        <w:gridCol w:w="389"/>
      </w:tblGrid>
      <w:tr>
        <w:tblPrEx>
          <w:tblCellMar>
            <w:top w:w="0" w:type="dxa"/>
            <w:left w:w="0" w:type="dxa"/>
            <w:bottom w:w="0" w:type="dxa"/>
            <w:right w:w="0" w:type="dxa"/>
          </w:tblCellMar>
        </w:tblPrEx>
        <w:trPr>
          <w:trHeight w:val="799" w:hRule="atLeast"/>
        </w:trPr>
        <w:tc>
          <w:tcPr>
            <w:tcW w:w="5000" w:type="pct"/>
            <w:gridSpan w:val="15"/>
            <w:tcBorders>
              <w:top w:val="nil"/>
              <w:left w:val="nil"/>
              <w:bottom w:val="nil"/>
              <w:right w:val="nil"/>
            </w:tcBorders>
            <w:shd w:val="clear" w:color="auto" w:fill="auto"/>
            <w:tcMar>
              <w:top w:w="15" w:type="dxa"/>
              <w:left w:w="15" w:type="dxa"/>
              <w:right w:w="15" w:type="dxa"/>
            </w:tcMar>
            <w:vAlign w:val="center"/>
          </w:tcPr>
          <w:p>
            <w:pPr>
              <w:pStyle w:val="2"/>
              <w:bidi w:val="0"/>
              <w:jc w:val="center"/>
              <w:rPr>
                <w:rFonts w:ascii="方正小标宋简体" w:hAnsi="方正小标宋简体" w:eastAsia="方正小标宋简体" w:cs="方正小标宋简体"/>
                <w:kern w:val="0"/>
                <w:szCs w:val="36"/>
              </w:rPr>
            </w:pPr>
            <w:bookmarkStart w:id="7" w:name="_Toc16217"/>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六</w:t>
            </w:r>
            <w:r>
              <w:rPr>
                <w:rFonts w:hint="eastAsia" w:ascii="方正小标宋简体" w:hAnsi="方正小标宋简体" w:eastAsia="方正小标宋简体" w:cs="方正小标宋简体"/>
                <w:b w:val="0"/>
                <w:bCs w:val="0"/>
                <w:sz w:val="36"/>
                <w:szCs w:val="36"/>
              </w:rPr>
              <w:t>）社会保险领域基层政务公开标准目录</w:t>
            </w:r>
            <w:bookmarkEnd w:id="7"/>
          </w:p>
        </w:tc>
      </w:tr>
      <w:tr>
        <w:tblPrEx>
          <w:tblCellMar>
            <w:top w:w="0" w:type="dxa"/>
            <w:left w:w="0" w:type="dxa"/>
            <w:bottom w:w="0" w:type="dxa"/>
            <w:right w:w="0" w:type="dxa"/>
          </w:tblCellMar>
        </w:tblPrEx>
        <w:trPr>
          <w:trHeight w:val="499" w:hRule="atLeast"/>
        </w:trPr>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序号</w:t>
            </w:r>
          </w:p>
        </w:tc>
        <w:tc>
          <w:tcPr>
            <w:tcW w:w="661"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公开事项</w:t>
            </w:r>
          </w:p>
        </w:tc>
        <w:tc>
          <w:tcPr>
            <w:tcW w:w="66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公开要素（要素）</w:t>
            </w:r>
          </w:p>
        </w:tc>
        <w:tc>
          <w:tcPr>
            <w:tcW w:w="164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公开依据</w:t>
            </w:r>
          </w:p>
        </w:tc>
        <w:tc>
          <w:tcPr>
            <w:tcW w:w="3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公开时限</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公开主体</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公开渠道和要素</w:t>
            </w:r>
          </w:p>
        </w:tc>
        <w:tc>
          <w:tcPr>
            <w:tcW w:w="2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公开对象</w:t>
            </w:r>
          </w:p>
        </w:tc>
        <w:tc>
          <w:tcPr>
            <w:tcW w:w="19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公开方式</w:t>
            </w:r>
          </w:p>
        </w:tc>
        <w:tc>
          <w:tcPr>
            <w:tcW w:w="22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公开层级</w:t>
            </w:r>
          </w:p>
        </w:tc>
      </w:tr>
      <w:tr>
        <w:tblPrEx>
          <w:tblCellMar>
            <w:top w:w="0" w:type="dxa"/>
            <w:left w:w="0" w:type="dxa"/>
            <w:bottom w:w="0" w:type="dxa"/>
            <w:right w:w="0" w:type="dxa"/>
          </w:tblCellMar>
        </w:tblPrEx>
        <w:trPr>
          <w:trHeight w:val="799" w:hRule="atLeast"/>
        </w:trPr>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149"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一级事项</w:t>
            </w:r>
          </w:p>
        </w:tc>
        <w:tc>
          <w:tcPr>
            <w:tcW w:w="268"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kern w:val="0"/>
                <w:sz w:val="24"/>
                <w:szCs w:val="26"/>
              </w:rPr>
            </w:pPr>
            <w:r>
              <w:rPr>
                <w:rFonts w:hint="eastAsia" w:ascii="宋体" w:hAnsi="宋体" w:eastAsia="宋体" w:cs="宋体"/>
                <w:b/>
                <w:kern w:val="0"/>
                <w:sz w:val="24"/>
                <w:szCs w:val="26"/>
              </w:rPr>
              <w:t>二级</w:t>
            </w:r>
          </w:p>
          <w:p>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事项</w:t>
            </w:r>
          </w:p>
        </w:tc>
        <w:tc>
          <w:tcPr>
            <w:tcW w:w="242"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kern w:val="0"/>
                <w:sz w:val="24"/>
                <w:szCs w:val="26"/>
              </w:rPr>
            </w:pPr>
            <w:r>
              <w:rPr>
                <w:rFonts w:hint="eastAsia" w:ascii="宋体" w:hAnsi="宋体" w:eastAsia="宋体" w:cs="宋体"/>
                <w:b/>
                <w:kern w:val="0"/>
                <w:sz w:val="24"/>
                <w:szCs w:val="26"/>
              </w:rPr>
              <w:t>三级</w:t>
            </w:r>
          </w:p>
          <w:p>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事项</w:t>
            </w:r>
          </w:p>
        </w:tc>
        <w:tc>
          <w:tcPr>
            <w:tcW w:w="66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164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3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黑体" w:hAnsi="宋体" w:eastAsia="黑体" w:cs="黑体"/>
                <w:kern w:val="0"/>
                <w:sz w:val="24"/>
                <w:szCs w:val="26"/>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全社会</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特定群体</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主动</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依申请</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县级</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乡级</w:t>
            </w:r>
          </w:p>
        </w:tc>
      </w:tr>
      <w:tr>
        <w:tblPrEx>
          <w:tblCellMar>
            <w:top w:w="0" w:type="dxa"/>
            <w:left w:w="0" w:type="dxa"/>
            <w:bottom w:w="0" w:type="dxa"/>
            <w:right w:w="0" w:type="dxa"/>
          </w:tblCellMar>
        </w:tblPrEx>
        <w:trPr>
          <w:trHeight w:val="430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1</w:t>
            </w:r>
          </w:p>
        </w:tc>
        <w:tc>
          <w:tcPr>
            <w:tcW w:w="14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1.2工程建设项目办理工伤保险参保登记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5.《关于进一步做好建筑业工伤保险工作的意见》（人社部发〔2014〕103号）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6.《关于铁路、公路、水运、水利、能源、机场工程建设项目参加工伤保险工作的通知》（人社部发〔2018〕3号）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1.3城乡居民养老保险参保登记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建立统一的城乡居民基本养老保险制度的意见》（国发〔2014〕8号）三、参保范围：年满16周岁（不含在校学生），非国家机关和事业单位工作人员及不属于职工基本养老保险制度覆盖范围的城乡居民，可以在户籍地参加城乡居民养老保险。</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28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3</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2.社会保险参保信息维护</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2.1单位（项目）基本信息变更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2.1.1企业参保单位社会保险信息变更</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县级人力资源社会保障部门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2.2.1企业职工个人社会保险信息变更</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3.《社会保险费征缴暂行条例》（中华人民共和国国务院令第259号）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4.《社会保险个人权益记录管理办法》（人社部令第14号）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5</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2.社会保险参保信息维护</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2.2.3城乡居民养老保险个人信息变更</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4.《关于印发城乡居民基本养老保险经办规程的通知》（人社部发〔2014〕23号）                                               5.《广东省人力资源和社会保障厅关于印发城乡居民基本养老保险经办规程的通知》（粤人社规﹝2016﹞1号）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2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6</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2.2.4工伤保险个人基本信息变更</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3.《社会保险费征缴暂行条例》（中华人民共和国国务院令第259号）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5.《关于印发工伤保险经办规程的通知》（人社部发〔2012〕11号）         </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9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3.2.3城乡居民养老保险缴费申报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3.《广东省人民政府关于修订&lt;广东省城乡居民社会养老保险实施办法&gt;的通知》（粤府﹝2014﹞37号）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3.3社会保险费断缴补缴申报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3.3.1企业职工社会保险费断缴补缴申报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6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0"/>
                <w:szCs w:val="18"/>
                <w:lang w:eastAsia="zh-CN"/>
              </w:rPr>
            </w:pPr>
            <w:r>
              <w:rPr>
                <w:rFonts w:hint="eastAsia" w:ascii="仿宋" w:hAnsi="仿宋" w:eastAsia="仿宋" w:cs="宋体"/>
                <w:kern w:val="0"/>
                <w:sz w:val="20"/>
                <w:szCs w:val="18"/>
                <w:lang w:val="en-US" w:eastAsia="zh-CN"/>
              </w:rPr>
              <w:t>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3.3.2城乡居民养老保险费断缴补缴申报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3.《国务院关于建立统一的城乡居民基本养老保险制度的意见》（国发〔2014〕8号）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3.社会保险缴费申报</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3.4企业职工社会保险费欠费补缴申报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3.5企业职工重复缴费退款</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3.《关于加强我省社会保险费退费管理工作的通知》（粤地税发〔2014〕71号）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4.《关于重收多收社会保险费退款问题的通知》（粤财社〔2002〕13号）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3.6企业职工个人缴费历史更正</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3.7企业职工个人缴费记录合并</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78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14</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4.社会保险参保缴费记录查询</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4.1单位参保证明查询打印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3.《社会保险个人权益记录管理办法》（中华人民共和国人力资源和社会保障部令第14号）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5.《广东省人力资源和社会保障厅关于印发广东省机关事业单位工作人员基本养老保险经办规程的通知》（粤人社规〔2016〕15号）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6.《广东省人力资源和社会保障厅关于印发广东省机关事业单位工作人员基本养老保险经办规程的通知》（粤人社规〔2016〕15号）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68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4.2个人权益记录（参保证明）查询打印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3.《社会保险个人权益记录管理办法》（中华人民共和国人力资源和社会保障部令第14号）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5.《广东省人力资源和社会保障厅关于印发广东省机关事业单位工作人员基本养老保险经办规程的通知》（粤人社规〔2016〕15号）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6.《广东省人力资源和社会保障厅关于印发广东省机关事业单位工作人员基本养老保险经办规程的通知》（粤人社规〔2016〕15号）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67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5.1职工正常退休(职)申请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5.1.1企业职工基本养老金申领</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5.1.2机关事业单位养老保险待遇申领</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3.《广东省人力资源和社会保障厅关于印发广东省机关事业单位工作人员基本养老保险经办规程的通知》（粤人社规〔2016〕15号）    </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81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5.2城乡居民养老保险待遇申领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3.《国务院关于建立统一的城乡居民基本养老保险制度的意见》（国发〔2014〕8号）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4.《实施〈中华人民共和国社会保险法〉若干规定》（中华人民共和国人力资源和社会保障部令第13号）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5.3.1企业职工从事特殊工种提前退休申请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3.《关于加强提前退休工种审批工作的通知》（劳部发〔1993〕120号）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27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20</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5.3.2职工因病或非因工致残完全丧失劳动能力提前退休申请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4.《国务院办公厅关于进一步做好国有企业下岗职工基本生活保障和企业离退休人员养老金发放工作有关问题的通知》（国办发〔1999〕10号）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5.《关于制止和纠正违反国家规定办理企业职工提前退休有关问题的通知》（劳社部发〔1999〕8号）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2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5.4养老保险死亡待遇申领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5.4.1企业职工养老保险死亡待遇申领</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3.《中华人民共和国劳动保险条例》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56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5.5.1暂停企业职工养老保险待遇申请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4.《关于退休人员被判刑后有关养老保险待遇问题的复函》（劳社厅函〔2001〕44号）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5.《关于对劳社厅函〔2001〕44号补充说明的函》（劳社厅函〔2003〕315号）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6.《关于因失踪被人民法院宣告死亡的离退休人员养老待遇问题的函》(人社厅函〔2010〕159号)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4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23</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5.5.2暂停城乡居民养老保险待遇申请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5.6恢复养老保险待遇申请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5.6.1恢复企业职工养老保险待遇申请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4.《关于退休职工下落不明期间待遇问题的批复》（劳办险字〔1990〕1号）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5.《关于退休人员被判刑后有关养老保险待遇问题的复函》（劳社厅函〔2001〕44号）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6.《关于对劳社厅函〔2001〕44号补充说明的函》（劳社厅函〔2003〕315号）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7.《关于因失踪被人民法院宣告死亡的离退休人员养老待遇问题的函》(人社厅函〔2010〕159号)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61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5.6.2恢复城乡居民养老保险待遇申请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2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5.7个人账户一次性待遇申领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5.7.1企业职工养老保险个人账户一次性待遇申领</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3.《国务院关于完善企业职工基本养老保险制度的决定》（国发〔2005〕38号）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5.7.3城乡居民养老保险个人账户一次性待遇申领</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3.《广东省人民政府关于修订&lt;广东省城乡居民社会养老保险实施办法&gt;的通知》（粤府﹝2014﹞37号）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5.8企业职工一次性养老保险待遇申领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29</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5.9企业职工历史信息审核申请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30</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5.10企业职工养老保险待遇重核申请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5.11居民养老保险注销登记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3.《国务院关于建立统一的城乡居民基本养老保险制度的意见》（国发〔2014〕8号)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11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5.12养老保险参保缴费凭证申请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3.《城镇企业职工基本养老保险关系转移接续暂行办法》（国办发〔2009〕66号）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8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33</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5.13城镇职工基本养老保险关系转移接续申请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3.《城镇企业职工基本养老保险关系转移接续暂行办法》（国办发〔2009〕66号）                                      4.《关于城镇企业职工基本养老保险关系转移接续若干问题的通知》（人社部规〔2016〕5号）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5.《关于贯彻落实国务院办公厅转发城镇企业职工基本养老保险关系转移接续暂行办法的通知》（人社部发〔2009〕187号)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6.《关于印发城镇企业职工基本养老保险关系转移接续若干具体问题意见的通知》（人社部发〔2010〕70号）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7.《关于职工基本养老保险关系转移接续有关问题的函》（人社厅函〔2013〕250号）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5.15城乡居民基本养老保险关系转移接续申请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3.《国务院关于建立统一的城乡居民基本养老保险制度的意见》（国发〔2014〕8号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4.《关于印发城乡居民基本养老保险经办规程的通知》（人社部发〔2014〕23号）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35</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5.17城镇职工基本养老保险与城乡居民基本养老保险制度衔接申请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3.《城镇企业职工基本养老保险关系转移接续暂行办法》（国办发〔2009〕66号）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4.《关于印发〈城乡养老保险制度衔接暂行办法〉的通知》（人社部发〔2014〕17号）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5.《关于贯彻实施〈城乡养老保险制度衔接暂行办法〉有关问题的通知》（人社厅发〔2014〕25号）《城乡养老保险制度衔接经办规程(试行)》</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36</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5.18军地养老保险关系转移接续申请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5.18.1退役军人养老保险关系转移接续申请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3.《关于军人退役参加机关事业单位养老保险有关问题的通知》（人社厅函〔2015〕369号）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4.《关于军人退役基本养老保险关系转移接续有关问题的通知》（后财〔2015〕1726号）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5.《关于军人职业年金转移接续有关问题的通知》（后财〔2015〕1727号）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5.18.2未就业随军配偶养老保险关系转移接续申请</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3.《关于未就业随军配偶基本养老保险关系转移接续有关问题的通知》（后联〔2011〕3号）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5.19多重养老保险关系个人账户退费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3.《关于城镇企业职工基本养老保险关系转移接续若干问题的通知》（人社部规〔2016〕5号）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4.《关于贯彻落实国务院办公厅转发城镇企业职工基本养老保险关系转移接续暂行办法的通知》（人社部发〔2009〕187号）《关于城镇企业职工基本养老保险关系转移接续若干问题的意见》</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39</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5.养老保险服务</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5.20领取待遇资格认证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5.20.1企业职工领取养老保险待遇资格认证</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40</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5.20.3城乡居民领取养老保险待遇资格认证</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51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41</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6.1工伤事故备案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4.《关于印发工伤保险经办规程的通知》（人社部发〔2012〕11号）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5.《广东省工伤保险条例》</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6.《广东省工伤保险基金省级统筹业务规程》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42</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6.2工伤认定申请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4.《关于印发工伤保险经办规程的通知》（人社部发〔2012〕11号）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6.3劳动能力初次鉴定申请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4.《工伤职工劳动能力鉴定管理办法》（中华人民共和国人力资源和社会保障部令第21号）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11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6.4劳动能力再次鉴定申请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4.《工伤职工劳动能力鉴定管理办法》（中华人民共和国人力资源和社会保障部令第21号）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6.5（1年后）劳动能力复查鉴定申请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4.《工伤职工劳动能力鉴定管理办法》（中华人民共和国人力资源和社会保障部令第21号）                                        5.《广东省工伤保险条例》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6.6（15日内）劳动能力鉴定复查申请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6.7因工死亡职工供养亲属的劳动能力鉴定申请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3.《因工死亡职工供养亲属范围规定》（人力资源和社会保障部令第10号）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6.8非因工伤残或因病丧失劳动能力鉴定申请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3.《国务院关于颁发〈国务院关于安置老弱病残干部的暂行办法〉和〈国务院关于工人退休、退职的暂行办法〉的通知》（国发〔1978〕104号）《国务院关于工人退休、退职的暂行办法》</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49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6.9非法用工单位伤残人员的劳动能力鉴定申请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3.《非法用工单位伤亡人员一次性赔偿办法》（人力资源和社会保障部令第9号）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50</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6.10工伤预防项目申报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3.《关于印发工伤预防费使用管理暂行办法的通知》（人社部规〔2017〕13号）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2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6.11工伤预防项目费结算申报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4.《关于工伤预防项目实施的暂行办法》（粤人社规〔2018〕6号）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6.12工伤复发确认申请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6.13旧伤复发确认申请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9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54</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6.14工伤康复确认申请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4.《关于印发〈工伤康复服务项目（试行）〉和〈工伤康复服务规范（试行）〉（修订版）的通知》（人社部发〔2013〕30号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5.《广东省工伤保险条例》</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6.《广东省劳动和社会保障厅关于工伤康复管理的暂行办法》（粤劳社〔2006〕138号）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6.15工伤职工停工留薪期确认申请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56</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6.16工伤保险辅助器具配置（更换）确认申请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4.《工伤保险辅助器具配置管理办法》（中华人民共和国人力资源和社会保障部、民政部、卫生和计划生育委员会令第27号）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6.17工伤保险辅助器具配置协议机构的确认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4.《工伤保险辅助器具配置管理办法》（中华人民共和国人力资源和社会保障部、民政部、卫生和计划生育委员会令第27号）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58</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6.18辅助器具配置(更换)核付确认与备案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4.《关于做好我省工伤保险辅助器具配置工作的通知》（粤人社规〔2017〕1号）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59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6.19工伤医疗/康复/辅助器具配置费用申报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08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60</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6.20工伤保险协议医疗机构的确认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6.21工伤保险协议康复机构的确认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9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62</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6.22工伤异地居住（就医）备案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97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6.23工伤保险市外转诊转院申请确认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4.《广东省工伤保险基金省级统筹实施方案》                   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6.24工伤保险市外交通食宿费申领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4.《广东省工伤保险基金省级统筹实施方案》                   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6.25工伤保险住院伙食补助费申领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4.《广东省工伤保险基金省级统筹实施方案》                   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6.26一次性工伤医疗补助金申请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4.《广东省工伤保险条例》                                          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6.27伤残待遇申领（一次性伤残补助金、伤残津贴和生活护理费）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4.《广东省工伤保险条例》                                          5.《关于印发工伤保险经办规程的通知》（人社部发〔2012〕11号）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0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6.28工亡待遇申领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4.《关于印发工伤保险经办规程的通知》（人社部发〔2012〕11号）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69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6.29工伤保险待遇变更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70</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6.工伤保险服务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6.30工伤职工和供养亲属领取工伤保险长期待遇资格认证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71</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7.失业保险服务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3.《失业保险条例》 （中华人民共和国国务院令第258号）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4.《失业保险金申领发放办法》（中华人民共和国劳动和社会保障部令第8号）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7.2丧葬补助金和抚恤金申领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kern w:val="0"/>
                <w:sz w:val="20"/>
                <w:szCs w:val="18"/>
              </w:rPr>
              <w:br w:type="textWrapping"/>
            </w:r>
            <w:r>
              <w:rPr>
                <w:rFonts w:hint="eastAsia" w:ascii="仿宋" w:hAnsi="仿宋" w:eastAsia="仿宋" w:cs="宋体"/>
                <w:kern w:val="0"/>
                <w:sz w:val="20"/>
                <w:szCs w:val="18"/>
              </w:rPr>
              <w:t xml:space="preserve">3.《失业保险条例》 （中华人民共和国国务院令第258号）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4.《失业保险金申领发放办法》（中华人民共和国劳动和社会保障部令第8号）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1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73</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7.失业保险服务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7.3职业培训补贴申领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4.《关于适当扩大失业保险基金支出范围试点有关问题的通知》（劳社部发〔2006〕5号）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5.《关于东部7省（市）扩大失业保险基金支出范围试点有关问题的通知》（人社部发〔2011〕95号）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6.《关于东部7省（市）扩大失业保险基金支出范围试点有关问题的通知》（人社部发〔2012〕32号）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7.《广东省失业保险条例》</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8.《广东省人民政府印发广东省失业人员职业介绍和职业培训补贴办法的通知》（粤府〔2002〕38号）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9.《广东省人力资源社会保障厅广东省财政厅关于印发广东省进一步扩大失业保险基金支出范围试点方案的通知》（粤人社发〔2009〕77号）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8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74</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7.4职业介绍补贴申领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4.《失业保险金申领发放办法》（中华人民共和国劳动和社会保障部令第8号）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5.《人力资源社会保障部办公厅关于印发优化失业保险经办业务流程指南的通知》（劳社厅发〔2006〕24号）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6.《广东省失业保险条例》</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7.《广东省人民政府印发广东省失业人员职业介绍和职业培训补贴办法的通知》（粤府〔2002〕38号）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8.《广东省人力资源社会保障厅广东省财政厅关于印发广东省进一步扩大失业保险基金支出范围试点方案的通知》（粤人社发〔2009〕77号）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7.5农民合同制工人一次性生活补助申领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4.《失业保险金申领发放办法》（中华人民共和国劳动和社会保障部令第8号）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5.《人力资源社会保障部办公厅关于印发优化失业保险经办业务流程指南的通知》（劳社厅发〔2006〕24号）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0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7.失业保险服务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7.6代缴基本医疗保险费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3.《关于领取失业保险金人员参加职工基本医疗保险有关问题的通知》（人社部发〔2011〕77号）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7.7价格临时补贴申领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3.《关于建立社会救助和保障标准与物价上涨挂钩的联动机制的通知》（发改价格〔2011〕431号）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4.《关于完善社会救助和保障标准与物价上涨挂钩联动机制的通知》（发改价格〔2014〕182号）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5.《关于进一步完善社会救助和保障标准与物价上涨挂钩联动机制的通知》（发改价格规〔2016〕1835号）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97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78</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7.8失业保险关系转移接续申请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4.《失业保险金申领发放办法》（中华人民共和国劳动和社会保障部令第8号）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5.《人力资源社会保障部办公厅关于印发优化失业保险经办业务流程指南的通知》（劳社厅发〔2006〕24号）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56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79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7.9稳岗补贴申领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3.《国务院关于进一步做好新形势下就业创业工作的意见》（国发〔2015〕23号）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4.《国务院关于做好当前和今后一段时期就业创业工作的意见》（国发〔2017〕28号）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5.《关于失业保险支持企业稳定岗位有关问题的通知》（人社部发〔2014〕76号）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6.《关于失业保险支持企业稳定岗位的实施意见》（粤人社发〔2015〕54号）。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7.《关于进一步做好失业保险支持企业稳定岗位工作有关问题的通知》（粤人社函〔2015〕1812号）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70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80</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7.失业保险服务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7.10技能提升补贴申领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3.《国务院关于做好当前和今后一段时期就业创业工作的意见》（国发〔2017〕28号）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4.《关于失业保险支持参保职工提升职业技能有关问题的通知》（人社部发〔2017〕40号）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5.《广东省人力资源和社会保障厅广东省财政厅关于失业保险支持参保职工提升职业技能有关问题的通知》（粤人社规〔2017〕13号）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686"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7.11东部7省（市）扩大支出试点项目</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3.《关于适当扩大失业保险基金支出范围试点有关问题的通知》（劳社部发〔2006〕5号）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4.《关于延长东部7省（市）扩大失业保险基金支出范围试点政策有关问题的通知》（人社部发〔2009〕97号）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5.《关于东部7省（市）扩大失业保险基金支出范围试点有关问题的通知》（人社部发〔2011〕95号）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6.《关于东部7省（市）扩大失业保险基金支出范围试点有关问题的通知》（人社部发〔2012〕32号）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7.12失业人员生育一次性加发失业保险金申领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7.13失业人员稳定就业后一次性失业保险金申领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84</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7.失业保险服务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7.14失业人员自主创业后一次性失业保险金申领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7.15失业期间职业技能鉴定补贴申领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4.《广东省人力资源社会保障厅广东省财政厅关于印发广东省进一步扩大失业保险基金支出范围试点方案的通知》（粤人社发〔2009〕77号）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86</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7.16非本省户籍一次性失业保险金申领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                                                     4.《广东省人民政府关于一次性失业保险金计发标准的通知》（粤府〔2014〕51号）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7.17核定失业人员停领失业保险待遇</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82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88</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8.企业年金备案</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8.1企业年金方案备案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8.1.1企业年金方案备案</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3.《企业年金办法》（中华人民共和国人力资源和社会保障部、财政部令第36号）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4.《关于进一步做好企业年金方案备案工作的意见》（人社厅发〔2014〕60号）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5.广东省人力资源和社会保障厅《关于贯彻落实&lt;企业年金办法&gt;的通知》（粤人社函[2018]326号）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89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8.1.2企业年金方案重要条款变更备案</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3.《企业年金办法》（中华人民共和国人力资源和社会保障部、财政部令第36号）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4.《关于进一步做好企业年金方案备案工作的意见》（人社厅发〔2014〕60号）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5.广东省人力资源和社会保障厅《关于贯彻落实&lt;企业年金办法&gt;的通知》（粤人社函[2018]326号）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6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90</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8.1.3企业年金方案终止备案</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3.《企业年金办法》（中华人民共和国人力资源和社会保障部、财政部令第36号）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4.《关于进一步做好企业年金方案备案工作的意见》（人社厅发〔2014〕60号）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5.广东省人力资源和社会保障厅《关于贯彻落实&lt;企业年金办法&gt;的通知》（粤人社函[2018]326号）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91</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8.2企业年金基金管理合同（除深圳外）备案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92</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9.社会保障卡服务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9.1社会保障卡申领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93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9.2社会保障卡启用</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4</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9.社会保障卡服务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9.3社会保障卡应用状态查询</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9.4社会保障卡信息变更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6</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9.社会保障卡服务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9.5社会保障卡应用锁定与解锁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7</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9.6社会保障卡密码修改与重置</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600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8</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9.社会保障卡服务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9.7社会保障卡挂失与解挂</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658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lang w:val="en-US" w:eastAsia="zh-CN"/>
              </w:rPr>
              <w:t>9</w:t>
            </w:r>
            <w:r>
              <w:rPr>
                <w:rFonts w:hint="eastAsia" w:ascii="仿宋" w:hAnsi="仿宋" w:eastAsia="仿宋" w:cs="宋体"/>
                <w:kern w:val="0"/>
                <w:sz w:val="20"/>
                <w:szCs w:val="18"/>
              </w:rPr>
              <w:t>9</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9.8社会保障卡补卡、换卡</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13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rPr>
              <w:t>1</w:t>
            </w:r>
            <w:r>
              <w:rPr>
                <w:rFonts w:hint="eastAsia" w:ascii="仿宋" w:hAnsi="仿宋" w:eastAsia="仿宋" w:cs="宋体"/>
                <w:kern w:val="0"/>
                <w:sz w:val="20"/>
                <w:szCs w:val="18"/>
                <w:lang w:val="en-US" w:eastAsia="zh-CN"/>
              </w:rPr>
              <w:t>00</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9.社会保障卡服务</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9.9社会保障卡注销</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3.《关于印发“中华人民共和国社会保障卡”管理办法的通知》（人社部发〔2011〕47号）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4.《关于社会保障卡加载金融功能的通知》（人社部发〔2011〕83号）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5.《关于印发社会保障卡发行管理流程的通知》（人社厅发〔2014〕20号）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6.《关于加快推进社会保障卡应用的意见》（人社部发〔2014〕52号）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7.LD/T32—2015《社会保障卡规范》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8.LD/T33—2015《社会保障卡读写终端规范》</w:t>
            </w:r>
            <w:r>
              <w:rPr>
                <w:rFonts w:hint="eastAsia" w:ascii="仿宋" w:hAnsi="仿宋" w:eastAsia="仿宋" w:cs="宋体"/>
                <w:kern w:val="0"/>
                <w:sz w:val="20"/>
                <w:szCs w:val="18"/>
              </w:rPr>
              <w:br w:type="textWrapping"/>
            </w:r>
            <w:r>
              <w:rPr>
                <w:rFonts w:hint="eastAsia" w:ascii="仿宋" w:hAnsi="仿宋" w:eastAsia="仿宋" w:cs="宋体"/>
                <w:kern w:val="0"/>
                <w:sz w:val="20"/>
                <w:szCs w:val="18"/>
              </w:rPr>
              <w:t>9.关于印发《广东省人力资源和社会保障厅关于社会保障卡业务的经办规程》的通知（粤人社规〔2016〕13号）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101</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10.社会保险费缴纳</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10.1一次性趸缴职工养老保险费申报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4336"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102</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10.2一次性缴纳养老保险费申报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10.2.1早期离开国有集体企业人员一次性缴费申报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3.《广东省劳动和社会保障厅关于解决早期离开省属国有集体企业人员社会保险有关问题的通知》（粤劳社发〔2008〕号）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103</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10.2.2离开机关事业单位人员一次性缴费申报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3.《关于解决离开机关事业单位人员养老保险有关问题的通知》（粤人社发〔2011〕91号文）</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104</w:t>
            </w:r>
          </w:p>
        </w:tc>
        <w:tc>
          <w:tcPr>
            <w:tcW w:w="1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10.社会保险费缴纳</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10.2一次性缴纳养老保险费申报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10.2.3企业未参保人员一次性缴费申报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3.《关于妥善解决企业未参保人员纳入企业职工基本养老保险问题的通知》（粤人社发〔2011〕237号）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105</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10.2.4宗教教职人员一次性缴费申报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3.《转发关于妥善解决宗教教职人员社会保障问题的意见的通知》（粤民宗发〔2012〕45号）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5506"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106</w:t>
            </w:r>
          </w:p>
        </w:tc>
        <w:tc>
          <w:tcPr>
            <w:tcW w:w="1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10.2.5早期下乡知青一次性缴费申报</w:t>
            </w: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3.《关于切实解决早期下乡知青社会保障问题的通知》（粤人社发〔2012〕64号）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82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107</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11.被征地农民社会保障审核</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11.1需报国务院批准征地的被征地农民社会保障审核</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1《关于切实做好被征地农民社会保障工作有关问题的通知》劳社部发〔2007〕14号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2.《国务院关于加强土地调控有关问题的通知》（国发〔2006〕31号）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3.《转发省人力资源社会保障厅关于进一步做好我省被征地农民养老保险工作意见的通知》（粤府办[2010]41号）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4.关于印发《广东省被征地农民养老保障审核办理程序》的通知(粤人社函〔2010〕4819号)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trHeight w:val="328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0"/>
                <w:szCs w:val="18"/>
                <w:lang w:val="en-US" w:eastAsia="zh-CN"/>
              </w:rPr>
            </w:pPr>
            <w:r>
              <w:rPr>
                <w:rFonts w:hint="eastAsia" w:ascii="仿宋" w:hAnsi="仿宋" w:eastAsia="仿宋" w:cs="宋体"/>
                <w:kern w:val="0"/>
                <w:sz w:val="20"/>
                <w:szCs w:val="18"/>
                <w:lang w:val="en-US" w:eastAsia="zh-CN"/>
              </w:rPr>
              <w:t>108</w:t>
            </w:r>
          </w:p>
        </w:tc>
        <w:tc>
          <w:tcPr>
            <w:tcW w:w="1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11.被征地农民社会保障审核</w:t>
            </w:r>
          </w:p>
        </w:tc>
        <w:tc>
          <w:tcPr>
            <w:tcW w:w="2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11.2需报省、市政府批准征地的被征地农民社会保障审核</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仿宋" w:hAnsi="仿宋" w:eastAsia="仿宋" w:cs="宋体"/>
                <w:kern w:val="0"/>
                <w:sz w:val="20"/>
                <w:szCs w:val="18"/>
              </w:rPr>
            </w:pPr>
          </w:p>
        </w:tc>
        <w:tc>
          <w:tcPr>
            <w:tcW w:w="664"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1.事项名称                         2.事项简述                    3.办理材料                   4.办理方式                 5.办理时限                   6.结果送达                   7.收费依据及标准    8.办事时间                   9.办理机构及地点   10.咨询查询途径     11.监督投诉渠道</w:t>
            </w:r>
          </w:p>
        </w:tc>
        <w:tc>
          <w:tcPr>
            <w:tcW w:w="16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1《关于切实做好被征地农民社会保障工作有关问题的通知》（劳社部发〔2007〕14号）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2.《国务院关于加强土地调控有关问题的通知》（国发〔2006〕31号）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3.《转发省人力资源社会保障厅关于进一步做好我省被征地农民养老保险工作意见的通知》（粤府办[2010]41号）</w:t>
            </w:r>
            <w:r>
              <w:rPr>
                <w:rFonts w:hint="eastAsia" w:ascii="仿宋" w:hAnsi="仿宋" w:eastAsia="仿宋" w:cs="宋体"/>
                <w:kern w:val="0"/>
                <w:sz w:val="20"/>
                <w:szCs w:val="18"/>
              </w:rPr>
              <w:br w:type="textWrapping"/>
            </w:r>
            <w:r>
              <w:rPr>
                <w:rFonts w:hint="eastAsia" w:ascii="仿宋" w:hAnsi="仿宋" w:eastAsia="仿宋" w:cs="宋体"/>
                <w:kern w:val="0"/>
                <w:sz w:val="20"/>
                <w:szCs w:val="18"/>
              </w:rPr>
              <w:t>4.关于印发《广东省被征地农民养老保障审核办理程序》的通知(粤人社函〔2010〕4819号)</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公开事项信息形成或变更之日起20个工作日内公开</w:t>
            </w:r>
          </w:p>
        </w:tc>
        <w:tc>
          <w:tcPr>
            <w:tcW w:w="2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eastAsia" w:ascii="仿宋" w:hAnsi="仿宋" w:eastAsia="仿宋" w:cs="宋体"/>
                <w:kern w:val="0"/>
                <w:sz w:val="20"/>
                <w:szCs w:val="18"/>
              </w:rPr>
              <w:t>人力资源社会保障部门</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kern w:val="0"/>
                <w:sz w:val="20"/>
                <w:szCs w:val="18"/>
              </w:rPr>
            </w:pPr>
            <w:r>
              <w:rPr>
                <w:rFonts w:hint="default" w:ascii="仿宋" w:hAnsi="仿宋" w:eastAsia="仿宋" w:cs="宋体"/>
                <w:color w:val="auto"/>
                <w:kern w:val="0"/>
                <w:sz w:val="20"/>
                <w:szCs w:val="18"/>
                <w:u w:val="none"/>
              </w:rPr>
              <w:t>■政府网站    □政府公报</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□两微一端    □发布会/听证会</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□广播电视    □纸质媒体</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□公开查阅点  ■政务服务中心</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□便民服务站  □入户/现场</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■社区/企事业单位/村公示栏（电子屏）</w:t>
            </w:r>
            <w:r>
              <w:rPr>
                <w:rFonts w:hint="default" w:ascii="仿宋" w:hAnsi="仿宋" w:eastAsia="仿宋" w:cs="宋体"/>
                <w:color w:val="auto"/>
                <w:kern w:val="0"/>
                <w:sz w:val="20"/>
                <w:szCs w:val="18"/>
                <w:u w:val="none"/>
              </w:rPr>
              <w:br w:type="textWrapping"/>
            </w:r>
            <w:r>
              <w:rPr>
                <w:rFonts w:hint="default" w:ascii="仿宋" w:hAnsi="仿宋" w:eastAsia="仿宋" w:cs="宋体"/>
                <w:color w:val="auto"/>
                <w:kern w:val="0"/>
                <w:sz w:val="20"/>
                <w:szCs w:val="18"/>
                <w:u w:val="none"/>
              </w:rPr>
              <w:t>□精准推送    ■其他</w:t>
            </w:r>
            <w:r>
              <w:rPr>
                <w:rFonts w:hint="default" w:ascii="仿宋" w:hAnsi="仿宋" w:eastAsia="仿宋" w:cs="宋体"/>
                <w:color w:val="auto"/>
                <w:kern w:val="0"/>
                <w:sz w:val="20"/>
                <w:szCs w:val="18"/>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仿宋" w:hAnsi="仿宋" w:eastAsia="仿宋" w:cs="宋体"/>
                <w:kern w:val="0"/>
                <w:sz w:val="20"/>
                <w:szCs w:val="18"/>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c>
          <w:tcPr>
            <w:tcW w:w="1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kern w:val="0"/>
                <w:sz w:val="20"/>
                <w:szCs w:val="18"/>
              </w:rPr>
            </w:pPr>
            <w:r>
              <w:rPr>
                <w:rFonts w:hint="eastAsia" w:ascii="仿宋" w:hAnsi="仿宋" w:eastAsia="仿宋" w:cs="宋体"/>
                <w:kern w:val="0"/>
                <w:sz w:val="20"/>
                <w:szCs w:val="18"/>
              </w:rPr>
              <w:t>√</w:t>
            </w:r>
          </w:p>
        </w:tc>
      </w:tr>
      <w:tr>
        <w:tblPrEx>
          <w:tblCellMar>
            <w:top w:w="0" w:type="dxa"/>
            <w:left w:w="0" w:type="dxa"/>
            <w:bottom w:w="0" w:type="dxa"/>
            <w:right w:w="0" w:type="dxa"/>
          </w:tblCellMar>
        </w:tblPrEx>
        <w:trPr>
          <w:hidden/>
        </w:trPr>
        <w:tc>
          <w:tcPr>
            <w:tcW w:w="117"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49"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268"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242"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664"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647"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238"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675"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96"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113" w:type="pct"/>
            <w:tcBorders>
              <w:top w:val="nil"/>
              <w:left w:val="nil"/>
              <w:bottom w:val="nil"/>
              <w:right w:val="nil"/>
            </w:tcBorders>
            <w:shd w:val="clear" w:color="auto" w:fill="auto"/>
            <w:noWrap/>
            <w:tcMar>
              <w:top w:w="15" w:type="dxa"/>
              <w:left w:w="15" w:type="dxa"/>
              <w:right w:w="15" w:type="dxa"/>
            </w:tcMar>
            <w:vAlign w:val="center"/>
          </w:tcPr>
          <w:p>
            <w:pPr>
              <w:widowControl/>
              <w:jc w:val="left"/>
              <w:rPr>
                <w:rFonts w:ascii="宋体" w:hAnsi="宋体" w:eastAsia="宋体" w:cs="宋体"/>
                <w:vanish/>
                <w:kern w:val="0"/>
                <w:sz w:val="24"/>
                <w:szCs w:val="24"/>
              </w:rPr>
            </w:pPr>
          </w:p>
        </w:tc>
        <w:tc>
          <w:tcPr>
            <w:tcW w:w="96" w:type="pct"/>
            <w:shd w:val="clear" w:color="auto" w:fill="auto"/>
            <w:vAlign w:val="center"/>
          </w:tcPr>
          <w:p>
            <w:pPr>
              <w:widowControl/>
              <w:jc w:val="left"/>
              <w:rPr>
                <w:rFonts w:ascii="宋体" w:hAnsi="宋体" w:eastAsia="宋体" w:cs="Times New Roman"/>
                <w:vanish/>
                <w:kern w:val="0"/>
                <w:sz w:val="24"/>
                <w:szCs w:val="24"/>
              </w:rPr>
            </w:pPr>
          </w:p>
        </w:tc>
        <w:tc>
          <w:tcPr>
            <w:tcW w:w="96" w:type="pct"/>
            <w:shd w:val="clear" w:color="auto" w:fill="auto"/>
            <w:vAlign w:val="center"/>
          </w:tcPr>
          <w:p>
            <w:pPr>
              <w:widowControl/>
              <w:jc w:val="left"/>
              <w:rPr>
                <w:rFonts w:ascii="宋体" w:hAnsi="宋体" w:eastAsia="宋体" w:cs="Times New Roman"/>
                <w:vanish/>
                <w:kern w:val="0"/>
                <w:sz w:val="24"/>
                <w:szCs w:val="24"/>
              </w:rPr>
            </w:pPr>
          </w:p>
        </w:tc>
        <w:tc>
          <w:tcPr>
            <w:tcW w:w="96" w:type="pct"/>
            <w:shd w:val="clear" w:color="auto" w:fill="auto"/>
            <w:vAlign w:val="center"/>
          </w:tcPr>
          <w:p>
            <w:pPr>
              <w:widowControl/>
              <w:jc w:val="left"/>
              <w:rPr>
                <w:rFonts w:ascii="宋体" w:hAnsi="宋体" w:eastAsia="宋体" w:cs="Times New Roman"/>
                <w:vanish/>
                <w:kern w:val="0"/>
                <w:sz w:val="24"/>
                <w:szCs w:val="24"/>
              </w:rPr>
            </w:pPr>
          </w:p>
        </w:tc>
        <w:tc>
          <w:tcPr>
            <w:tcW w:w="132" w:type="pct"/>
            <w:shd w:val="clear" w:color="auto" w:fill="auto"/>
            <w:vAlign w:val="center"/>
          </w:tcPr>
          <w:p>
            <w:pPr>
              <w:widowControl/>
              <w:jc w:val="left"/>
              <w:rPr>
                <w:rFonts w:ascii="宋体" w:hAnsi="宋体" w:eastAsia="宋体" w:cs="Times New Roman"/>
                <w:vanish/>
                <w:kern w:val="0"/>
                <w:sz w:val="24"/>
                <w:szCs w:val="24"/>
              </w:rPr>
            </w:pPr>
          </w:p>
        </w:tc>
      </w:tr>
    </w:tbl>
    <w:p>
      <w:pPr>
        <w:widowControl/>
        <w:jc w:val="left"/>
        <w:rPr>
          <w:rFonts w:ascii="宋体" w:hAnsi="宋体" w:eastAsia="宋体" w:cs="Times New Roman"/>
          <w:kern w:val="0"/>
          <w:sz w:val="24"/>
          <w:szCs w:val="24"/>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8" w:name="_Toc24724714"/>
      <w:bookmarkStart w:id="9" w:name="_Toc3432"/>
      <w:r>
        <w:rPr>
          <w:rFonts w:hint="eastAsia" w:ascii="方正小标宋简体" w:hAnsi="方正小标宋简体" w:eastAsia="方正小标宋简体" w:cs="方正小标宋简体"/>
          <w:b w:val="0"/>
          <w:bCs w:val="0"/>
          <w:sz w:val="36"/>
          <w:szCs w:val="36"/>
          <w:lang w:val="en-US" w:eastAsia="zh-CN"/>
        </w:rPr>
        <w:t>（七）城乡规划领域基层政务公开标准目录</w:t>
      </w:r>
      <w:bookmarkEnd w:id="8"/>
      <w:bookmarkEnd w:id="9"/>
    </w:p>
    <w:tbl>
      <w:tblPr>
        <w:tblStyle w:val="9"/>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56"/>
        <w:gridCol w:w="2024"/>
        <w:gridCol w:w="2160"/>
        <w:gridCol w:w="1440"/>
        <w:gridCol w:w="1177"/>
        <w:gridCol w:w="2659"/>
        <w:gridCol w:w="720"/>
        <w:gridCol w:w="709"/>
        <w:gridCol w:w="551"/>
        <w:gridCol w:w="720"/>
        <w:gridCol w:w="456"/>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57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2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77"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65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90" w:type="dxa"/>
            <w:gridSpan w:val="3"/>
            <w:noWrap w:val="0"/>
            <w:vAlign w:val="top"/>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eastAsia="宋体" w:cs="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24"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177" w:type="dxa"/>
            <w:vMerge w:val="continue"/>
            <w:noWrap w:val="0"/>
            <w:vAlign w:val="center"/>
          </w:tcPr>
          <w:p>
            <w:pPr>
              <w:widowControl/>
              <w:jc w:val="left"/>
              <w:rPr>
                <w:rFonts w:ascii="黑体" w:hAnsi="宋体" w:eastAsia="黑体" w:cs="宋体"/>
                <w:color w:val="000000"/>
                <w:kern w:val="0"/>
                <w:sz w:val="22"/>
              </w:rPr>
            </w:pPr>
          </w:p>
        </w:tc>
        <w:tc>
          <w:tcPr>
            <w:tcW w:w="2659" w:type="dxa"/>
            <w:vMerge w:val="continue"/>
            <w:noWrap w:val="0"/>
            <w:vAlign w:val="center"/>
          </w:tcPr>
          <w:p>
            <w:pPr>
              <w:widowControl/>
              <w:jc w:val="left"/>
              <w:rPr>
                <w:rFonts w:ascii="黑体" w:hAnsi="宋体" w:eastAsia="黑体" w:cs="宋体"/>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5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6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cs="Times New Roman"/>
                <w:sz w:val="18"/>
                <w:szCs w:val="18"/>
                <w:lang w:eastAsia="zh-CN"/>
              </w:rPr>
            </w:pPr>
            <w:r>
              <w:rPr>
                <w:rFonts w:hint="eastAsia" w:ascii="仿宋" w:hAnsi="仿宋" w:eastAsia="仿宋" w:cs="Times New Roman"/>
                <w:sz w:val="18"/>
                <w:szCs w:val="18"/>
                <w:lang w:val="en-US" w:eastAsia="zh-CN"/>
              </w:rPr>
              <w:t>1</w:t>
            </w:r>
          </w:p>
        </w:tc>
        <w:tc>
          <w:tcPr>
            <w:tcW w:w="720" w:type="dxa"/>
            <w:vMerge w:val="restart"/>
            <w:noWrap w:val="0"/>
            <w:vAlign w:val="center"/>
          </w:tcPr>
          <w:p>
            <w:pPr>
              <w:jc w:val="center"/>
              <w:rPr>
                <w:rFonts w:ascii="仿宋" w:hAnsi="仿宋" w:eastAsia="仿宋" w:cs="Times New Roman"/>
                <w:sz w:val="18"/>
                <w:szCs w:val="18"/>
              </w:rPr>
            </w:pPr>
            <w:r>
              <w:rPr>
                <w:rFonts w:ascii="仿宋" w:hAnsi="仿宋" w:eastAsia="仿宋" w:cs="Times New Roman"/>
                <w:sz w:val="18"/>
                <w:szCs w:val="18"/>
              </w:rPr>
              <w:t>规划编制</w:t>
            </w:r>
          </w:p>
        </w:tc>
        <w:tc>
          <w:tcPr>
            <w:tcW w:w="85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城市、镇总体规划及同级的土地利用规划</w:t>
            </w:r>
          </w:p>
        </w:tc>
        <w:tc>
          <w:tcPr>
            <w:tcW w:w="2024" w:type="dxa"/>
            <w:noWrap w:val="0"/>
            <w:vAlign w:val="center"/>
          </w:tcPr>
          <w:p>
            <w:pPr>
              <w:widowControl/>
              <w:jc w:val="left"/>
              <w:rPr>
                <w:rFonts w:ascii="仿宋" w:hAnsi="仿宋" w:eastAsia="仿宋" w:cs="Times New Roman"/>
                <w:sz w:val="18"/>
                <w:szCs w:val="18"/>
              </w:rPr>
            </w:pPr>
            <w:r>
              <w:rPr>
                <w:rFonts w:ascii="仿宋" w:hAnsi="仿宋" w:eastAsia="仿宋" w:cs="Times New Roman"/>
                <w:sz w:val="18"/>
                <w:szCs w:val="18"/>
              </w:rPr>
              <w:t>批准文件、脱密后</w:t>
            </w:r>
            <w:r>
              <w:rPr>
                <w:rFonts w:hint="eastAsia" w:ascii="仿宋" w:hAnsi="仿宋" w:eastAsia="仿宋" w:cs="Times New Roman"/>
                <w:sz w:val="18"/>
                <w:szCs w:val="18"/>
              </w:rPr>
              <w:t>的法定图则</w:t>
            </w:r>
            <w:r>
              <w:rPr>
                <w:rFonts w:ascii="仿宋" w:hAnsi="仿宋" w:eastAsia="仿宋" w:cs="Times New Roman"/>
                <w:sz w:val="18"/>
                <w:szCs w:val="18"/>
              </w:rPr>
              <w:t>等</w:t>
            </w:r>
          </w:p>
        </w:tc>
        <w:tc>
          <w:tcPr>
            <w:tcW w:w="216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《土地管理法》《城乡规划法》《政府信息公开条例》</w:t>
            </w:r>
          </w:p>
        </w:tc>
        <w:tc>
          <w:tcPr>
            <w:tcW w:w="144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信息形成或者变更之日起20个工作日内</w:t>
            </w:r>
          </w:p>
        </w:tc>
        <w:tc>
          <w:tcPr>
            <w:tcW w:w="1177"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江门市自然资源局</w:t>
            </w:r>
          </w:p>
        </w:tc>
        <w:tc>
          <w:tcPr>
            <w:tcW w:w="2659" w:type="dxa"/>
            <w:noWrap w:val="0"/>
            <w:vAlign w:val="center"/>
          </w:tcPr>
          <w:p>
            <w:pPr>
              <w:widowControl/>
              <w:spacing w:line="320" w:lineRule="exact"/>
              <w:rPr>
                <w:rFonts w:ascii="仿宋" w:hAnsi="仿宋" w:eastAsia="仿宋" w:cs="Times New Roman"/>
                <w:kern w:val="0"/>
                <w:sz w:val="18"/>
                <w:szCs w:val="18"/>
                <w:shd w:val="clear" w:color="auto" w:fill="FFFFFF"/>
              </w:rPr>
            </w:pPr>
            <w:r>
              <w:rPr>
                <w:rFonts w:ascii="仿宋" w:hAnsi="仿宋" w:eastAsia="仿宋" w:cs="Times New Roman"/>
                <w:kern w:val="0"/>
                <w:sz w:val="18"/>
                <w:szCs w:val="18"/>
                <w:shd w:val="clear" w:color="auto" w:fill="FFFFFF"/>
              </w:rPr>
              <w:t>■政府网站</w:t>
            </w:r>
          </w:p>
          <w:p>
            <w:pPr>
              <w:widowControl/>
              <w:jc w:val="left"/>
              <w:rPr>
                <w:rFonts w:ascii="仿宋" w:hAnsi="仿宋" w:eastAsia="仿宋" w:cs="Times New Roman"/>
                <w:sz w:val="18"/>
                <w:szCs w:val="18"/>
              </w:rPr>
            </w:pPr>
          </w:p>
        </w:tc>
        <w:tc>
          <w:tcPr>
            <w:tcW w:w="720"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09" w:type="dxa"/>
            <w:noWrap w:val="0"/>
            <w:vAlign w:val="center"/>
          </w:tcPr>
          <w:p>
            <w:pPr>
              <w:widowControl/>
              <w:jc w:val="center"/>
              <w:rPr>
                <w:rFonts w:ascii="仿宋" w:hAnsi="仿宋" w:eastAsia="仿宋" w:cs="Times New Roman"/>
                <w:sz w:val="18"/>
                <w:szCs w:val="18"/>
              </w:rPr>
            </w:pPr>
          </w:p>
        </w:tc>
        <w:tc>
          <w:tcPr>
            <w:tcW w:w="551"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20" w:type="dxa"/>
            <w:noWrap w:val="0"/>
            <w:vAlign w:val="center"/>
          </w:tcPr>
          <w:p>
            <w:pPr>
              <w:widowControl/>
              <w:jc w:val="center"/>
              <w:rPr>
                <w:rFonts w:ascii="仿宋" w:hAnsi="仿宋" w:eastAsia="仿宋" w:cs="Times New Roman"/>
                <w:sz w:val="18"/>
                <w:szCs w:val="18"/>
              </w:rPr>
            </w:pPr>
          </w:p>
        </w:tc>
        <w:tc>
          <w:tcPr>
            <w:tcW w:w="456"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cs="Times New Roman"/>
                <w:sz w:val="18"/>
                <w:szCs w:val="18"/>
                <w:lang w:eastAsia="zh-CN"/>
              </w:rPr>
            </w:pPr>
            <w:r>
              <w:rPr>
                <w:rFonts w:hint="eastAsia" w:ascii="仿宋" w:hAnsi="仿宋" w:eastAsia="仿宋" w:cs="Times New Roman"/>
                <w:sz w:val="18"/>
                <w:szCs w:val="18"/>
                <w:lang w:val="en-US" w:eastAsia="zh-CN"/>
              </w:rPr>
              <w:t>2</w:t>
            </w:r>
          </w:p>
        </w:tc>
        <w:tc>
          <w:tcPr>
            <w:tcW w:w="720" w:type="dxa"/>
            <w:vMerge w:val="continue"/>
            <w:noWrap w:val="0"/>
            <w:vAlign w:val="center"/>
          </w:tcPr>
          <w:p>
            <w:pPr>
              <w:widowControl/>
              <w:jc w:val="center"/>
              <w:rPr>
                <w:rFonts w:ascii="仿宋" w:hAnsi="仿宋" w:eastAsia="仿宋" w:cs="Times New Roman"/>
                <w:sz w:val="18"/>
                <w:szCs w:val="18"/>
              </w:rPr>
            </w:pPr>
          </w:p>
        </w:tc>
        <w:tc>
          <w:tcPr>
            <w:tcW w:w="856" w:type="dxa"/>
            <w:noWrap w:val="0"/>
            <w:vAlign w:val="center"/>
          </w:tcPr>
          <w:p>
            <w:pPr>
              <w:widowControl/>
              <w:rPr>
                <w:rFonts w:hint="eastAsia" w:ascii="仿宋" w:hAnsi="仿宋" w:eastAsia="仿宋" w:cs="Times New Roman"/>
                <w:sz w:val="18"/>
                <w:szCs w:val="18"/>
              </w:rPr>
            </w:pPr>
            <w:r>
              <w:rPr>
                <w:rFonts w:hint="eastAsia" w:ascii="仿宋" w:hAnsi="仿宋" w:eastAsia="仿宋" w:cs="Times New Roman"/>
                <w:sz w:val="18"/>
                <w:szCs w:val="18"/>
              </w:rPr>
              <w:t>乡规划及同级的土地利用规划</w:t>
            </w:r>
          </w:p>
        </w:tc>
        <w:tc>
          <w:tcPr>
            <w:tcW w:w="2024" w:type="dxa"/>
            <w:noWrap w:val="0"/>
            <w:vAlign w:val="center"/>
          </w:tcPr>
          <w:p>
            <w:pPr>
              <w:widowControl/>
              <w:jc w:val="left"/>
              <w:rPr>
                <w:rFonts w:hint="eastAsia" w:ascii="仿宋" w:hAnsi="仿宋" w:eastAsia="仿宋" w:cs="Times New Roman"/>
                <w:sz w:val="18"/>
                <w:szCs w:val="18"/>
              </w:rPr>
            </w:pPr>
            <w:r>
              <w:rPr>
                <w:rFonts w:hint="eastAsia" w:ascii="仿宋" w:hAnsi="仿宋" w:eastAsia="仿宋" w:cs="Times New Roman"/>
                <w:sz w:val="18"/>
                <w:szCs w:val="18"/>
              </w:rPr>
              <w:t>脱密后的法定图则</w:t>
            </w:r>
          </w:p>
        </w:tc>
        <w:tc>
          <w:tcPr>
            <w:tcW w:w="216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《土地管理法》《城乡规划法》《政府信息公开条例》</w:t>
            </w:r>
          </w:p>
        </w:tc>
        <w:tc>
          <w:tcPr>
            <w:tcW w:w="144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信息形成或者变更之日起20个工作日内</w:t>
            </w:r>
          </w:p>
        </w:tc>
        <w:tc>
          <w:tcPr>
            <w:tcW w:w="1177" w:type="dxa"/>
            <w:noWrap w:val="0"/>
            <w:vAlign w:val="center"/>
          </w:tcPr>
          <w:p>
            <w:pPr>
              <w:widowControl/>
              <w:jc w:val="center"/>
              <w:rPr>
                <w:rFonts w:hint="eastAsia" w:ascii="仿宋" w:hAnsi="仿宋" w:eastAsia="仿宋" w:cs="Times New Roman"/>
                <w:sz w:val="18"/>
                <w:szCs w:val="18"/>
              </w:rPr>
            </w:pPr>
            <w:r>
              <w:rPr>
                <w:rFonts w:hint="eastAsia" w:ascii="仿宋" w:hAnsi="仿宋" w:eastAsia="仿宋" w:cs="Times New Roman"/>
                <w:sz w:val="18"/>
                <w:szCs w:val="18"/>
              </w:rPr>
              <w:t>江门市自然资源局</w:t>
            </w:r>
          </w:p>
        </w:tc>
        <w:tc>
          <w:tcPr>
            <w:tcW w:w="2659" w:type="dxa"/>
            <w:noWrap w:val="0"/>
            <w:vAlign w:val="center"/>
          </w:tcPr>
          <w:p>
            <w:pPr>
              <w:widowControl/>
              <w:spacing w:line="320" w:lineRule="exact"/>
              <w:rPr>
                <w:rFonts w:ascii="仿宋" w:hAnsi="仿宋" w:eastAsia="仿宋" w:cs="Times New Roman"/>
                <w:kern w:val="0"/>
                <w:sz w:val="18"/>
                <w:szCs w:val="18"/>
                <w:shd w:val="clear" w:color="auto" w:fill="FFFFFF"/>
              </w:rPr>
            </w:pPr>
            <w:r>
              <w:rPr>
                <w:rFonts w:ascii="仿宋" w:hAnsi="仿宋" w:eastAsia="仿宋" w:cs="Times New Roman"/>
                <w:kern w:val="0"/>
                <w:sz w:val="18"/>
                <w:szCs w:val="18"/>
                <w:shd w:val="clear" w:color="auto" w:fill="FFFFFF"/>
              </w:rPr>
              <w:t>■政府网站</w:t>
            </w:r>
          </w:p>
          <w:p>
            <w:pPr>
              <w:widowControl/>
              <w:rPr>
                <w:rFonts w:hint="eastAsia" w:ascii="仿宋" w:hAnsi="仿宋" w:eastAsia="仿宋" w:cs="Times New Roman"/>
                <w:sz w:val="18"/>
                <w:szCs w:val="18"/>
              </w:rPr>
            </w:pPr>
            <w:r>
              <w:rPr>
                <w:rFonts w:hint="eastAsia" w:ascii="仿宋" w:hAnsi="仿宋" w:eastAsia="仿宋" w:cs="Times New Roman"/>
                <w:sz w:val="18"/>
                <w:szCs w:val="18"/>
              </w:rPr>
              <w:t>镇政府公告栏/</w:t>
            </w:r>
          </w:p>
          <w:p>
            <w:pPr>
              <w:widowControl/>
              <w:rPr>
                <w:rFonts w:hint="eastAsia" w:ascii="仿宋" w:hAnsi="仿宋" w:eastAsia="仿宋" w:cs="Times New Roman"/>
                <w:sz w:val="18"/>
                <w:szCs w:val="18"/>
              </w:rPr>
            </w:pPr>
            <w:r>
              <w:rPr>
                <w:rFonts w:hint="eastAsia" w:ascii="仿宋" w:hAnsi="仿宋" w:eastAsia="仿宋" w:cs="Times New Roman"/>
                <w:sz w:val="18"/>
                <w:szCs w:val="18"/>
              </w:rPr>
              <w:t>村委会(居委会)公告栏</w:t>
            </w:r>
          </w:p>
        </w:tc>
        <w:tc>
          <w:tcPr>
            <w:tcW w:w="720"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09" w:type="dxa"/>
            <w:noWrap w:val="0"/>
            <w:vAlign w:val="center"/>
          </w:tcPr>
          <w:p>
            <w:pPr>
              <w:widowControl/>
              <w:jc w:val="center"/>
              <w:rPr>
                <w:rFonts w:ascii="仿宋" w:hAnsi="仿宋" w:eastAsia="仿宋" w:cs="Times New Roman"/>
                <w:sz w:val="18"/>
                <w:szCs w:val="18"/>
              </w:rPr>
            </w:pPr>
          </w:p>
        </w:tc>
        <w:tc>
          <w:tcPr>
            <w:tcW w:w="551"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20" w:type="dxa"/>
            <w:noWrap w:val="0"/>
            <w:vAlign w:val="center"/>
          </w:tcPr>
          <w:p>
            <w:pPr>
              <w:widowControl/>
              <w:jc w:val="center"/>
              <w:rPr>
                <w:rFonts w:ascii="仿宋" w:hAnsi="仿宋" w:eastAsia="仿宋" w:cs="Times New Roman"/>
                <w:sz w:val="18"/>
                <w:szCs w:val="18"/>
              </w:rPr>
            </w:pPr>
          </w:p>
        </w:tc>
        <w:tc>
          <w:tcPr>
            <w:tcW w:w="456"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cs="Times New Roman"/>
                <w:sz w:val="18"/>
                <w:szCs w:val="18"/>
                <w:lang w:eastAsia="zh-CN"/>
              </w:rPr>
            </w:pPr>
            <w:r>
              <w:rPr>
                <w:rFonts w:hint="eastAsia" w:ascii="仿宋" w:hAnsi="仿宋" w:eastAsia="仿宋" w:cs="Times New Roman"/>
                <w:sz w:val="18"/>
                <w:szCs w:val="18"/>
                <w:lang w:val="en-US" w:eastAsia="zh-CN"/>
              </w:rPr>
              <w:t>3</w:t>
            </w:r>
          </w:p>
        </w:tc>
        <w:tc>
          <w:tcPr>
            <w:tcW w:w="720" w:type="dxa"/>
            <w:vMerge w:val="continue"/>
            <w:noWrap w:val="0"/>
            <w:vAlign w:val="center"/>
          </w:tcPr>
          <w:p>
            <w:pPr>
              <w:widowControl/>
              <w:jc w:val="center"/>
              <w:rPr>
                <w:rFonts w:ascii="仿宋" w:hAnsi="仿宋" w:eastAsia="仿宋" w:cs="Times New Roman"/>
                <w:sz w:val="18"/>
                <w:szCs w:val="18"/>
              </w:rPr>
            </w:pPr>
          </w:p>
        </w:tc>
        <w:tc>
          <w:tcPr>
            <w:tcW w:w="85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城市、镇详细规划</w:t>
            </w:r>
          </w:p>
        </w:tc>
        <w:tc>
          <w:tcPr>
            <w:tcW w:w="2024" w:type="dxa"/>
            <w:noWrap w:val="0"/>
            <w:vAlign w:val="center"/>
          </w:tcPr>
          <w:p>
            <w:pPr>
              <w:widowControl/>
              <w:jc w:val="left"/>
              <w:rPr>
                <w:rFonts w:ascii="仿宋" w:hAnsi="仿宋" w:eastAsia="仿宋" w:cs="Times New Roman"/>
                <w:sz w:val="18"/>
                <w:szCs w:val="18"/>
              </w:rPr>
            </w:pPr>
            <w:r>
              <w:rPr>
                <w:rFonts w:hint="eastAsia" w:ascii="仿宋" w:hAnsi="仿宋" w:eastAsia="仿宋" w:cs="Times New Roman"/>
                <w:sz w:val="18"/>
                <w:szCs w:val="18"/>
              </w:rPr>
              <w:t>脱密后的法定图则</w:t>
            </w:r>
          </w:p>
        </w:tc>
        <w:tc>
          <w:tcPr>
            <w:tcW w:w="216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《城乡规划法》《政府信息公开条例》</w:t>
            </w:r>
          </w:p>
        </w:tc>
        <w:tc>
          <w:tcPr>
            <w:tcW w:w="144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信息形成或者变更之日起20个工作日内</w:t>
            </w:r>
          </w:p>
        </w:tc>
        <w:tc>
          <w:tcPr>
            <w:tcW w:w="1177"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江门市自然资源局</w:t>
            </w:r>
          </w:p>
        </w:tc>
        <w:tc>
          <w:tcPr>
            <w:tcW w:w="2659" w:type="dxa"/>
            <w:noWrap w:val="0"/>
            <w:vAlign w:val="center"/>
          </w:tcPr>
          <w:p>
            <w:pPr>
              <w:widowControl/>
              <w:spacing w:line="320" w:lineRule="exact"/>
              <w:rPr>
                <w:rFonts w:ascii="仿宋" w:hAnsi="仿宋" w:eastAsia="仿宋" w:cs="Times New Roman"/>
                <w:kern w:val="0"/>
                <w:sz w:val="18"/>
                <w:szCs w:val="18"/>
                <w:shd w:val="clear" w:color="auto" w:fill="FFFFFF"/>
              </w:rPr>
            </w:pPr>
            <w:r>
              <w:rPr>
                <w:rFonts w:ascii="仿宋" w:hAnsi="仿宋" w:eastAsia="仿宋" w:cs="Times New Roman"/>
                <w:kern w:val="0"/>
                <w:sz w:val="18"/>
                <w:szCs w:val="18"/>
                <w:shd w:val="clear" w:color="auto" w:fill="FFFFFF"/>
              </w:rPr>
              <w:t>■政府网站</w:t>
            </w:r>
          </w:p>
          <w:p>
            <w:pPr>
              <w:widowControl/>
              <w:rPr>
                <w:rFonts w:ascii="仿宋" w:hAnsi="仿宋" w:eastAsia="仿宋" w:cs="Times New Roman"/>
                <w:sz w:val="18"/>
                <w:szCs w:val="18"/>
              </w:rPr>
            </w:pPr>
            <w:r>
              <w:rPr>
                <w:rFonts w:ascii="仿宋" w:hAnsi="仿宋" w:eastAsia="仿宋" w:cs="Times New Roman"/>
                <w:kern w:val="0"/>
                <w:sz w:val="18"/>
                <w:szCs w:val="18"/>
                <w:shd w:val="clear" w:color="auto" w:fill="FFFFFF"/>
              </w:rPr>
              <w:t>■</w:t>
            </w:r>
            <w:r>
              <w:rPr>
                <w:rFonts w:hint="eastAsia" w:ascii="仿宋" w:hAnsi="仿宋" w:eastAsia="仿宋" w:cs="Times New Roman"/>
                <w:sz w:val="18"/>
                <w:szCs w:val="18"/>
              </w:rPr>
              <w:t>镇政府公告栏</w:t>
            </w:r>
          </w:p>
        </w:tc>
        <w:tc>
          <w:tcPr>
            <w:tcW w:w="720"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09" w:type="dxa"/>
            <w:noWrap w:val="0"/>
            <w:vAlign w:val="center"/>
          </w:tcPr>
          <w:p>
            <w:pPr>
              <w:widowControl/>
              <w:jc w:val="center"/>
              <w:rPr>
                <w:rFonts w:ascii="仿宋" w:hAnsi="仿宋" w:eastAsia="仿宋" w:cs="Times New Roman"/>
                <w:sz w:val="18"/>
                <w:szCs w:val="18"/>
              </w:rPr>
            </w:pPr>
          </w:p>
        </w:tc>
        <w:tc>
          <w:tcPr>
            <w:tcW w:w="551"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20" w:type="dxa"/>
            <w:noWrap w:val="0"/>
            <w:vAlign w:val="center"/>
          </w:tcPr>
          <w:p>
            <w:pPr>
              <w:widowControl/>
              <w:jc w:val="center"/>
              <w:rPr>
                <w:rFonts w:ascii="仿宋" w:hAnsi="仿宋" w:eastAsia="仿宋" w:cs="Times New Roman"/>
                <w:sz w:val="18"/>
                <w:szCs w:val="18"/>
              </w:rPr>
            </w:pPr>
          </w:p>
        </w:tc>
        <w:tc>
          <w:tcPr>
            <w:tcW w:w="456"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 w:hAnsi="仿宋" w:eastAsia="仿宋" w:cs="Times New Roman"/>
                <w:sz w:val="18"/>
                <w:szCs w:val="18"/>
                <w:lang w:eastAsia="zh-CN"/>
              </w:rPr>
            </w:pPr>
            <w:r>
              <w:rPr>
                <w:rFonts w:hint="eastAsia" w:ascii="仿宋" w:hAnsi="仿宋" w:eastAsia="仿宋" w:cs="Times New Roman"/>
                <w:sz w:val="18"/>
                <w:szCs w:val="18"/>
                <w:lang w:val="en-US" w:eastAsia="zh-CN"/>
              </w:rPr>
              <w:t>4</w:t>
            </w:r>
          </w:p>
        </w:tc>
        <w:tc>
          <w:tcPr>
            <w:tcW w:w="720"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规划编制</w:t>
            </w:r>
          </w:p>
        </w:tc>
        <w:tc>
          <w:tcPr>
            <w:tcW w:w="856" w:type="dxa"/>
            <w:noWrap w:val="0"/>
            <w:vAlign w:val="center"/>
          </w:tcPr>
          <w:p>
            <w:pPr>
              <w:widowControl/>
              <w:rPr>
                <w:rFonts w:ascii="仿宋" w:hAnsi="仿宋" w:eastAsia="仿宋" w:cs="Times New Roman"/>
                <w:sz w:val="18"/>
                <w:szCs w:val="18"/>
              </w:rPr>
            </w:pPr>
            <w:r>
              <w:rPr>
                <w:rFonts w:hint="eastAsia" w:ascii="仿宋" w:hAnsi="仿宋" w:eastAsia="仿宋" w:cs="Times New Roman"/>
                <w:sz w:val="18"/>
                <w:szCs w:val="18"/>
              </w:rPr>
              <w:t>部分村庄编制完成的</w:t>
            </w:r>
            <w:r>
              <w:rPr>
                <w:rFonts w:ascii="仿宋" w:hAnsi="仿宋" w:eastAsia="仿宋" w:cs="Times New Roman"/>
                <w:sz w:val="18"/>
                <w:szCs w:val="18"/>
              </w:rPr>
              <w:t>村庄规划</w:t>
            </w:r>
            <w:r>
              <w:rPr>
                <w:rFonts w:hint="eastAsia" w:ascii="仿宋" w:hAnsi="仿宋" w:eastAsia="仿宋" w:cs="Times New Roman"/>
                <w:sz w:val="18"/>
                <w:szCs w:val="18"/>
              </w:rPr>
              <w:t>、村土地利用规划</w:t>
            </w:r>
          </w:p>
        </w:tc>
        <w:tc>
          <w:tcPr>
            <w:tcW w:w="2024" w:type="dxa"/>
            <w:noWrap w:val="0"/>
            <w:vAlign w:val="center"/>
          </w:tcPr>
          <w:p>
            <w:pPr>
              <w:widowControl/>
              <w:jc w:val="left"/>
              <w:rPr>
                <w:rFonts w:ascii="仿宋" w:hAnsi="仿宋" w:eastAsia="仿宋" w:cs="Times New Roman"/>
                <w:sz w:val="18"/>
                <w:szCs w:val="18"/>
              </w:rPr>
            </w:pPr>
            <w:r>
              <w:rPr>
                <w:rFonts w:hint="eastAsia" w:ascii="仿宋" w:hAnsi="仿宋" w:eastAsia="仿宋" w:cs="Times New Roman"/>
                <w:sz w:val="18"/>
                <w:szCs w:val="18"/>
              </w:rPr>
              <w:t>脱密后的法定图则</w:t>
            </w:r>
            <w:r>
              <w:rPr>
                <w:rFonts w:ascii="仿宋" w:hAnsi="仿宋" w:eastAsia="仿宋" w:cs="Times New Roman"/>
                <w:sz w:val="18"/>
                <w:szCs w:val="18"/>
              </w:rPr>
              <w:t>等</w:t>
            </w:r>
          </w:p>
        </w:tc>
        <w:tc>
          <w:tcPr>
            <w:tcW w:w="216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《土地管理法》《城乡规划法》《政府信息公开条例》</w:t>
            </w:r>
          </w:p>
        </w:tc>
        <w:tc>
          <w:tcPr>
            <w:tcW w:w="1440" w:type="dxa"/>
            <w:noWrap w:val="0"/>
            <w:vAlign w:val="center"/>
          </w:tcPr>
          <w:p>
            <w:pPr>
              <w:widowControl/>
              <w:rPr>
                <w:rFonts w:ascii="仿宋" w:hAnsi="仿宋" w:eastAsia="仿宋" w:cs="Times New Roman"/>
                <w:sz w:val="18"/>
                <w:szCs w:val="18"/>
              </w:rPr>
            </w:pPr>
            <w:r>
              <w:rPr>
                <w:rFonts w:ascii="仿宋" w:hAnsi="仿宋" w:eastAsia="仿宋" w:cs="Times New Roman"/>
                <w:sz w:val="18"/>
                <w:szCs w:val="18"/>
              </w:rPr>
              <w:t>信息形成或者变更之日起20个工作日内</w:t>
            </w:r>
          </w:p>
        </w:tc>
        <w:tc>
          <w:tcPr>
            <w:tcW w:w="1177" w:type="dxa"/>
            <w:noWrap w:val="0"/>
            <w:vAlign w:val="center"/>
          </w:tcPr>
          <w:p>
            <w:pPr>
              <w:widowControl/>
              <w:jc w:val="center"/>
              <w:rPr>
                <w:rFonts w:ascii="仿宋" w:hAnsi="仿宋" w:eastAsia="仿宋" w:cs="Times New Roman"/>
                <w:sz w:val="18"/>
                <w:szCs w:val="18"/>
              </w:rPr>
            </w:pPr>
            <w:r>
              <w:rPr>
                <w:rFonts w:hint="eastAsia" w:ascii="仿宋" w:hAnsi="仿宋" w:eastAsia="仿宋" w:cs="Times New Roman"/>
                <w:sz w:val="18"/>
                <w:szCs w:val="18"/>
              </w:rPr>
              <w:t>江门市自然资源局</w:t>
            </w:r>
          </w:p>
        </w:tc>
        <w:tc>
          <w:tcPr>
            <w:tcW w:w="2659" w:type="dxa"/>
            <w:noWrap w:val="0"/>
            <w:vAlign w:val="center"/>
          </w:tcPr>
          <w:p>
            <w:pPr>
              <w:widowControl/>
              <w:spacing w:line="320" w:lineRule="exact"/>
              <w:rPr>
                <w:rFonts w:ascii="仿宋" w:hAnsi="仿宋" w:eastAsia="仿宋" w:cs="Times New Roman"/>
                <w:kern w:val="0"/>
                <w:sz w:val="18"/>
                <w:szCs w:val="18"/>
                <w:shd w:val="clear" w:color="auto" w:fill="FFFFFF"/>
              </w:rPr>
            </w:pPr>
            <w:r>
              <w:rPr>
                <w:rFonts w:ascii="仿宋" w:hAnsi="仿宋" w:eastAsia="仿宋" w:cs="Times New Roman"/>
                <w:kern w:val="0"/>
                <w:sz w:val="18"/>
                <w:szCs w:val="18"/>
                <w:shd w:val="clear" w:color="auto" w:fill="FFFFFF"/>
              </w:rPr>
              <w:t>■政府网站</w:t>
            </w:r>
          </w:p>
          <w:p>
            <w:pPr>
              <w:widowControl/>
              <w:jc w:val="left"/>
              <w:rPr>
                <w:rFonts w:hint="eastAsia" w:ascii="仿宋" w:hAnsi="仿宋" w:eastAsia="仿宋" w:cs="Times New Roman"/>
                <w:sz w:val="18"/>
                <w:szCs w:val="18"/>
              </w:rPr>
            </w:pPr>
            <w:r>
              <w:rPr>
                <w:rFonts w:ascii="仿宋" w:hAnsi="仿宋" w:eastAsia="仿宋" w:cs="Times New Roman"/>
                <w:kern w:val="0"/>
                <w:sz w:val="18"/>
                <w:szCs w:val="18"/>
                <w:shd w:val="clear" w:color="auto" w:fill="FFFFFF"/>
              </w:rPr>
              <w:t>■</w:t>
            </w:r>
            <w:r>
              <w:rPr>
                <w:rFonts w:hint="eastAsia" w:ascii="仿宋" w:hAnsi="仿宋" w:eastAsia="仿宋" w:cs="Times New Roman"/>
                <w:sz w:val="18"/>
                <w:szCs w:val="18"/>
              </w:rPr>
              <w:t>镇政府公告栏</w:t>
            </w:r>
          </w:p>
          <w:p>
            <w:pPr>
              <w:widowControl/>
              <w:jc w:val="left"/>
              <w:rPr>
                <w:rFonts w:ascii="仿宋" w:hAnsi="仿宋" w:eastAsia="仿宋" w:cs="Times New Roman"/>
                <w:sz w:val="18"/>
                <w:szCs w:val="18"/>
              </w:rPr>
            </w:pPr>
            <w:r>
              <w:rPr>
                <w:rFonts w:ascii="仿宋" w:hAnsi="仿宋" w:eastAsia="仿宋" w:cs="Times New Roman"/>
                <w:kern w:val="0"/>
                <w:sz w:val="18"/>
                <w:szCs w:val="18"/>
                <w:shd w:val="clear" w:color="auto" w:fill="FFFFFF"/>
              </w:rPr>
              <w:t>■</w:t>
            </w:r>
            <w:r>
              <w:rPr>
                <w:rFonts w:hint="eastAsia" w:ascii="仿宋" w:hAnsi="仿宋" w:eastAsia="仿宋" w:cs="Times New Roman"/>
                <w:sz w:val="18"/>
                <w:szCs w:val="18"/>
              </w:rPr>
              <w:t>村委会(居委会)公告栏</w:t>
            </w:r>
          </w:p>
        </w:tc>
        <w:tc>
          <w:tcPr>
            <w:tcW w:w="720"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09" w:type="dxa"/>
            <w:noWrap w:val="0"/>
            <w:vAlign w:val="center"/>
          </w:tcPr>
          <w:p>
            <w:pPr>
              <w:widowControl/>
              <w:jc w:val="center"/>
              <w:rPr>
                <w:rFonts w:ascii="仿宋" w:hAnsi="仿宋" w:eastAsia="仿宋" w:cs="Times New Roman"/>
                <w:sz w:val="18"/>
                <w:szCs w:val="18"/>
              </w:rPr>
            </w:pPr>
          </w:p>
        </w:tc>
        <w:tc>
          <w:tcPr>
            <w:tcW w:w="551"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720" w:type="dxa"/>
            <w:noWrap w:val="0"/>
            <w:vAlign w:val="center"/>
          </w:tcPr>
          <w:p>
            <w:pPr>
              <w:widowControl/>
              <w:jc w:val="center"/>
              <w:rPr>
                <w:rFonts w:ascii="仿宋" w:hAnsi="仿宋" w:eastAsia="仿宋" w:cs="Times New Roman"/>
                <w:sz w:val="18"/>
                <w:szCs w:val="18"/>
              </w:rPr>
            </w:pPr>
          </w:p>
        </w:tc>
        <w:tc>
          <w:tcPr>
            <w:tcW w:w="456"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c>
          <w:tcPr>
            <w:tcW w:w="567" w:type="dxa"/>
            <w:noWrap w:val="0"/>
            <w:vAlign w:val="center"/>
          </w:tcPr>
          <w:p>
            <w:pPr>
              <w:widowControl/>
              <w:jc w:val="center"/>
              <w:rPr>
                <w:rFonts w:ascii="仿宋" w:hAnsi="仿宋" w:eastAsia="仿宋" w:cs="Times New Roman"/>
                <w:sz w:val="18"/>
                <w:szCs w:val="18"/>
              </w:rPr>
            </w:pPr>
            <w:r>
              <w:rPr>
                <w:rFonts w:ascii="仿宋" w:hAnsi="仿宋" w:eastAsia="仿宋" w:cs="Times New Roman"/>
                <w:sz w:val="18"/>
                <w:szCs w:val="18"/>
              </w:rPr>
              <w:t>√</w:t>
            </w:r>
          </w:p>
        </w:tc>
      </w:tr>
    </w:tbl>
    <w:p>
      <w:pPr>
        <w:rPr>
          <w:rFonts w:ascii="方正小标宋_GBK" w:hAnsi="方正小标宋_GBK" w:eastAsia="方正小标宋_GBK" w:cs="Times New Roman"/>
          <w:color w:val="000000"/>
          <w:kern w:val="44"/>
          <w:sz w:val="30"/>
          <w:szCs w:val="44"/>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0" w:name="_Toc3555"/>
      <w:r>
        <w:rPr>
          <w:rFonts w:hint="eastAsia" w:ascii="方正小标宋简体" w:hAnsi="方正小标宋简体" w:eastAsia="方正小标宋简体" w:cs="方正小标宋简体"/>
          <w:b w:val="0"/>
          <w:bCs w:val="0"/>
          <w:sz w:val="36"/>
          <w:szCs w:val="36"/>
          <w:lang w:val="en-US" w:eastAsia="zh-CN"/>
        </w:rPr>
        <w:t>（八）农村集体土地征收基层政务公开标准目录</w:t>
      </w:r>
      <w:bookmarkEnd w:id="10"/>
    </w:p>
    <w:tbl>
      <w:tblPr>
        <w:tblStyle w:val="9"/>
        <w:tblW w:w="15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750"/>
        <w:gridCol w:w="1656"/>
        <w:gridCol w:w="554"/>
        <w:gridCol w:w="875"/>
        <w:gridCol w:w="551"/>
        <w:gridCol w:w="720"/>
        <w:gridCol w:w="449"/>
        <w:gridCol w:w="60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eastAsia="宋体" w:cs="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75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5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619" w:type="dxa"/>
            <w:gridSpan w:val="3"/>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eastAsia="宋体" w:cs="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750" w:type="dxa"/>
            <w:vMerge w:val="continue"/>
            <w:noWrap w:val="0"/>
            <w:vAlign w:val="center"/>
          </w:tcPr>
          <w:p>
            <w:pPr>
              <w:widowControl/>
              <w:jc w:val="left"/>
              <w:rPr>
                <w:rFonts w:ascii="黑体" w:hAnsi="宋体" w:eastAsia="黑体" w:cs="宋体"/>
                <w:color w:val="000000"/>
                <w:kern w:val="0"/>
                <w:sz w:val="22"/>
              </w:rPr>
            </w:pPr>
          </w:p>
        </w:tc>
        <w:tc>
          <w:tcPr>
            <w:tcW w:w="1656" w:type="dxa"/>
            <w:vMerge w:val="continue"/>
            <w:noWrap w:val="0"/>
            <w:vAlign w:val="center"/>
          </w:tcPr>
          <w:p>
            <w:pPr>
              <w:widowControl/>
              <w:jc w:val="left"/>
              <w:rPr>
                <w:rFonts w:ascii="黑体" w:hAnsi="宋体" w:eastAsia="黑体" w:cs="宋体"/>
                <w:color w:val="000000"/>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4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03"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540"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3</w:t>
            </w:r>
          </w:p>
        </w:tc>
        <w:tc>
          <w:tcPr>
            <w:tcW w:w="720" w:type="dxa"/>
            <w:vMerge w:val="restart"/>
            <w:noWrap w:val="0"/>
            <w:vAlign w:val="center"/>
          </w:tcPr>
          <w:p>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征地前期准备</w:t>
            </w:r>
          </w:p>
        </w:tc>
        <w:tc>
          <w:tcPr>
            <w:tcW w:w="720" w:type="dxa"/>
            <w:noWrap w:val="0"/>
            <w:vAlign w:val="center"/>
          </w:tcPr>
          <w:p>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拟征收土地启动公告</w:t>
            </w:r>
          </w:p>
        </w:tc>
        <w:tc>
          <w:tcPr>
            <w:tcW w:w="2714" w:type="dxa"/>
            <w:noWrap w:val="0"/>
            <w:vAlign w:val="center"/>
          </w:tcPr>
          <w:p>
            <w:pPr>
              <w:widowControl/>
              <w:spacing w:line="24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土地征收启动公告〔内容包括：</w:t>
            </w:r>
            <w:r>
              <w:rPr>
                <w:rFonts w:ascii="仿宋" w:hAnsi="仿宋" w:eastAsia="仿宋" w:cs="Times New Roman"/>
                <w:color w:val="000000"/>
                <w:sz w:val="18"/>
                <w:szCs w:val="18"/>
              </w:rPr>
              <w:t>（1）</w:t>
            </w:r>
            <w:r>
              <w:rPr>
                <w:rFonts w:hint="eastAsia" w:ascii="仿宋" w:hAnsi="仿宋" w:eastAsia="仿宋" w:cs="Times New Roman"/>
                <w:color w:val="000000"/>
                <w:sz w:val="18"/>
                <w:szCs w:val="18"/>
              </w:rPr>
              <w:t>征收目的；</w:t>
            </w:r>
            <w:r>
              <w:rPr>
                <w:rFonts w:ascii="仿宋" w:hAnsi="仿宋" w:eastAsia="仿宋" w:cs="Times New Roman"/>
                <w:color w:val="000000"/>
                <w:sz w:val="18"/>
                <w:szCs w:val="18"/>
              </w:rPr>
              <w:t>（2）</w:t>
            </w:r>
            <w:r>
              <w:rPr>
                <w:rFonts w:hint="eastAsia" w:ascii="仿宋" w:hAnsi="仿宋" w:eastAsia="仿宋" w:cs="Times New Roman"/>
                <w:color w:val="000000"/>
                <w:sz w:val="18"/>
                <w:szCs w:val="18"/>
              </w:rPr>
              <w:t>拟征收范围；</w:t>
            </w:r>
            <w:r>
              <w:rPr>
                <w:rFonts w:ascii="仿宋" w:hAnsi="仿宋" w:eastAsia="仿宋" w:cs="Times New Roman"/>
                <w:color w:val="000000"/>
                <w:sz w:val="18"/>
                <w:szCs w:val="18"/>
              </w:rPr>
              <w:t>（3）</w:t>
            </w:r>
            <w:r>
              <w:rPr>
                <w:rFonts w:hint="eastAsia" w:ascii="仿宋" w:hAnsi="仿宋" w:eastAsia="仿宋" w:cs="Times New Roman"/>
                <w:color w:val="000000"/>
                <w:sz w:val="18"/>
                <w:szCs w:val="18"/>
              </w:rPr>
              <w:t>开展土地现状调查的安排；</w:t>
            </w:r>
            <w:r>
              <w:rPr>
                <w:rFonts w:ascii="仿宋" w:hAnsi="仿宋" w:eastAsia="仿宋" w:cs="Times New Roman"/>
                <w:color w:val="000000"/>
                <w:sz w:val="18"/>
                <w:szCs w:val="18"/>
              </w:rPr>
              <w:t>（4）</w:t>
            </w:r>
            <w:r>
              <w:rPr>
                <w:rFonts w:hint="eastAsia" w:ascii="仿宋" w:hAnsi="仿宋" w:eastAsia="仿宋" w:cs="Times New Roman"/>
                <w:color w:val="000000"/>
                <w:sz w:val="18"/>
                <w:szCs w:val="18"/>
              </w:rPr>
              <w:t>拟征收土地的原用途管控（包括不得抢栽、抢种、抢建等有关规定）〕。</w:t>
            </w:r>
          </w:p>
        </w:tc>
        <w:tc>
          <w:tcPr>
            <w:tcW w:w="1260" w:type="dxa"/>
            <w:noWrap w:val="0"/>
            <w:vAlign w:val="center"/>
          </w:tcPr>
          <w:p>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启动拟征收土地工作时实时公开</w:t>
            </w:r>
          </w:p>
        </w:tc>
        <w:tc>
          <w:tcPr>
            <w:tcW w:w="1750" w:type="dxa"/>
            <w:noWrap w:val="0"/>
            <w:vAlign w:val="center"/>
          </w:tcPr>
          <w:p>
            <w:pPr>
              <w:widowControl/>
              <w:spacing w:line="24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自然资源管理部门以及负责实施农村集体土地征收的有关部门（含乡镇政府等）</w:t>
            </w:r>
          </w:p>
        </w:tc>
        <w:tc>
          <w:tcPr>
            <w:tcW w:w="1656" w:type="dxa"/>
            <w:noWrap w:val="0"/>
            <w:vAlign w:val="center"/>
          </w:tcPr>
          <w:p>
            <w:pPr>
              <w:widowControl/>
              <w:spacing w:line="320" w:lineRule="exact"/>
              <w:rPr>
                <w:rFonts w:hint="eastAsia"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p>
            <w:pPr>
              <w:widowControl/>
              <w:spacing w:line="240" w:lineRule="exact"/>
              <w:rPr>
                <w:rFonts w:ascii="仿宋" w:hAnsi="仿宋" w:eastAsia="仿宋" w:cs="Times New Roman"/>
                <w:color w:val="000000"/>
                <w:sz w:val="18"/>
                <w:szCs w:val="18"/>
              </w:rPr>
            </w:pPr>
          </w:p>
        </w:tc>
        <w:tc>
          <w:tcPr>
            <w:tcW w:w="554"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spacing w:line="240" w:lineRule="exact"/>
              <w:jc w:val="center"/>
              <w:rPr>
                <w:rFonts w:ascii="仿宋" w:hAnsi="仿宋" w:eastAsia="仿宋" w:cs="Times New Roman"/>
                <w:color w:val="000000"/>
                <w:sz w:val="18"/>
                <w:szCs w:val="18"/>
              </w:rPr>
            </w:pPr>
          </w:p>
        </w:tc>
        <w:tc>
          <w:tcPr>
            <w:tcW w:w="449" w:type="dxa"/>
            <w:noWrap w:val="0"/>
            <w:vAlign w:val="center"/>
          </w:tcPr>
          <w:p>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spacing w:line="24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40"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4</w:t>
            </w:r>
          </w:p>
        </w:tc>
        <w:tc>
          <w:tcPr>
            <w:tcW w:w="720" w:type="dxa"/>
            <w:vMerge w:val="continue"/>
            <w:noWrap w:val="0"/>
            <w:vAlign w:val="center"/>
          </w:tcPr>
          <w:p>
            <w:pPr>
              <w:widowControl/>
              <w:jc w:val="center"/>
              <w:rPr>
                <w:rFonts w:ascii="仿宋" w:hAnsi="仿宋" w:eastAsia="仿宋" w:cs="Times New Roman"/>
                <w:color w:val="000000"/>
                <w:sz w:val="18"/>
                <w:szCs w:val="18"/>
              </w:rPr>
            </w:pPr>
          </w:p>
        </w:tc>
        <w:tc>
          <w:tcPr>
            <w:tcW w:w="720" w:type="dxa"/>
            <w:noWrap w:val="0"/>
            <w:vAlign w:val="center"/>
          </w:tcPr>
          <w:p>
            <w:pPr>
              <w:widowControl/>
              <w:spacing w:line="32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拟征收土地现状调查</w:t>
            </w:r>
          </w:p>
        </w:tc>
        <w:tc>
          <w:tcPr>
            <w:tcW w:w="2714" w:type="dxa"/>
            <w:noWrap w:val="0"/>
            <w:vAlign w:val="center"/>
          </w:tcPr>
          <w:p>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征地调查结果确认表（征收土地勘测调查表）内容包括：土地所有权人、使用权人、地类、面积，以及农村村民住宅、其他其上附着物和青苗等权属、种类、数量等信息。</w:t>
            </w:r>
          </w:p>
          <w:p>
            <w:pPr>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〔*土地勘测定界图件（涉及国家秘密的项目除外；图件应按有关法律法规规定予以技术处理）〕。</w:t>
            </w:r>
          </w:p>
        </w:tc>
        <w:tc>
          <w:tcPr>
            <w:tcW w:w="1260" w:type="dxa"/>
            <w:noWrap w:val="0"/>
            <w:vAlign w:val="center"/>
          </w:tcPr>
          <w:p>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拟征收土地现状调查结束后5个工作日内</w:t>
            </w:r>
          </w:p>
        </w:tc>
        <w:tc>
          <w:tcPr>
            <w:tcW w:w="1750" w:type="dxa"/>
            <w:noWrap w:val="0"/>
            <w:vAlign w:val="center"/>
          </w:tcPr>
          <w:p>
            <w:pPr>
              <w:widowControl/>
              <w:spacing w:line="24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pPr>
              <w:widowControl/>
              <w:spacing w:line="24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jc w:val="center"/>
              <w:rPr>
                <w:rFonts w:ascii="仿宋" w:hAnsi="仿宋" w:eastAsia="仿宋" w:cs="Times New Roman"/>
                <w:color w:val="000000"/>
                <w:sz w:val="18"/>
                <w:szCs w:val="18"/>
              </w:rPr>
            </w:pPr>
          </w:p>
        </w:tc>
        <w:tc>
          <w:tcPr>
            <w:tcW w:w="449"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540"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5</w:t>
            </w:r>
          </w:p>
        </w:tc>
        <w:tc>
          <w:tcPr>
            <w:tcW w:w="720" w:type="dxa"/>
            <w:vMerge w:val="continue"/>
            <w:noWrap w:val="0"/>
            <w:vAlign w:val="center"/>
          </w:tcPr>
          <w:p>
            <w:pPr>
              <w:widowControl/>
              <w:jc w:val="center"/>
              <w:rPr>
                <w:rFonts w:ascii="仿宋" w:hAnsi="仿宋" w:eastAsia="仿宋" w:cs="Times New Roman"/>
                <w:color w:val="000000"/>
                <w:sz w:val="18"/>
                <w:szCs w:val="18"/>
              </w:rPr>
            </w:pPr>
          </w:p>
        </w:tc>
        <w:tc>
          <w:tcPr>
            <w:tcW w:w="720"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 xml:space="preserve">征收土地补偿安置公告 </w:t>
            </w:r>
          </w:p>
        </w:tc>
        <w:tc>
          <w:tcPr>
            <w:tcW w:w="2714" w:type="dxa"/>
            <w:noWrap w:val="0"/>
            <w:vAlign w:val="center"/>
          </w:tcPr>
          <w:p>
            <w:pPr>
              <w:numPr>
                <w:ilvl w:val="0"/>
                <w:numId w:val="1"/>
              </w:numPr>
              <w:rPr>
                <w:rFonts w:ascii="仿宋" w:hAnsi="仿宋" w:eastAsia="仿宋" w:cs="Times New Roman"/>
                <w:color w:val="000000"/>
                <w:sz w:val="18"/>
                <w:szCs w:val="18"/>
              </w:rPr>
            </w:pPr>
            <w:r>
              <w:rPr>
                <w:rFonts w:hint="eastAsia" w:ascii="仿宋" w:hAnsi="仿宋" w:eastAsia="仿宋" w:cs="Times New Roman"/>
                <w:color w:val="000000"/>
                <w:sz w:val="18"/>
                <w:szCs w:val="18"/>
              </w:rPr>
              <w:t>征收土地补偿安置公告；</w:t>
            </w:r>
          </w:p>
          <w:p>
            <w:pPr>
              <w:ind w:firstLine="180" w:firstLineChars="100"/>
              <w:rPr>
                <w:rFonts w:ascii="仿宋" w:hAnsi="仿宋" w:eastAsia="仿宋" w:cs="Times New Roman"/>
                <w:color w:val="000000"/>
                <w:sz w:val="18"/>
                <w:szCs w:val="18"/>
              </w:rPr>
            </w:pPr>
            <w:r>
              <w:rPr>
                <w:rFonts w:hint="eastAsia" w:ascii="仿宋" w:hAnsi="仿宋" w:eastAsia="仿宋" w:cs="Times New Roman"/>
                <w:color w:val="000000"/>
                <w:sz w:val="18"/>
                <w:szCs w:val="18"/>
              </w:rPr>
              <w:t>内容包括：</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（1）征收目的；</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（2）被征收土地的位置、地类、面积，地上附着物和青苗的种类、数量；</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（3）土地补偿费和安置补助费的标准、数额、支付对象和支付方式；</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（4）地上附着物和青苗的补偿标准与支付方式；</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（5）社会保障费用的筹集方法、缴费比例和办法；</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（6）其他有关征地补偿、安置的具体措施；</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（7）听证等救济途径。</w:t>
            </w:r>
          </w:p>
          <w:p>
            <w:pPr>
              <w:rPr>
                <w:rFonts w:ascii="仿宋" w:hAnsi="仿宋" w:eastAsia="仿宋" w:cs="Times New Roman"/>
                <w:color w:val="000000"/>
                <w:sz w:val="18"/>
                <w:szCs w:val="18"/>
              </w:rPr>
            </w:pPr>
            <w:r>
              <w:rPr>
                <w:rFonts w:hint="eastAsia" w:ascii="仿宋" w:hAnsi="仿宋" w:eastAsia="仿宋" w:cs="Times New Roman"/>
                <w:color w:val="000000"/>
                <w:sz w:val="18"/>
                <w:szCs w:val="18"/>
              </w:rPr>
              <w:t>2.听证通知书。</w:t>
            </w:r>
          </w:p>
        </w:tc>
        <w:tc>
          <w:tcPr>
            <w:tcW w:w="1260" w:type="dxa"/>
            <w:noWrap w:val="0"/>
            <w:vAlign w:val="center"/>
          </w:tcPr>
          <w:p>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《土地管理法》《征收土地公告办法》《自然资源听证规定》《政府信息公开条例》</w:t>
            </w:r>
          </w:p>
        </w:tc>
        <w:tc>
          <w:tcPr>
            <w:tcW w:w="1980" w:type="dxa"/>
            <w:noWrap w:val="0"/>
            <w:vAlign w:val="center"/>
          </w:tcPr>
          <w:p>
            <w:pPr>
              <w:rPr>
                <w:rFonts w:ascii="仿宋" w:hAnsi="仿宋" w:eastAsia="仿宋" w:cs="Times New Roman"/>
                <w:color w:val="000000"/>
                <w:sz w:val="18"/>
                <w:szCs w:val="18"/>
              </w:rPr>
            </w:pPr>
            <w:r>
              <w:rPr>
                <w:rFonts w:hint="eastAsia" w:ascii="仿宋" w:hAnsi="仿宋" w:eastAsia="仿宋" w:cs="Times New Roman"/>
                <w:color w:val="000000"/>
                <w:sz w:val="18"/>
                <w:szCs w:val="18"/>
              </w:rPr>
              <w:t>①《听证通知书》在组织听证7个工作日前予以公开；②其他听证公开内容为依申请公开。</w:t>
            </w:r>
          </w:p>
        </w:tc>
        <w:tc>
          <w:tcPr>
            <w:tcW w:w="1750" w:type="dxa"/>
            <w:noWrap w:val="0"/>
            <w:vAlign w:val="center"/>
          </w:tcPr>
          <w:p>
            <w:pPr>
              <w:widowControl/>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pPr>
              <w:widowControl/>
              <w:spacing w:line="24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jc w:val="center"/>
              <w:rPr>
                <w:rFonts w:ascii="仿宋" w:hAnsi="仿宋" w:eastAsia="仿宋" w:cs="Times New Roman"/>
                <w:color w:val="000000"/>
                <w:sz w:val="18"/>
                <w:szCs w:val="18"/>
              </w:rPr>
            </w:pPr>
          </w:p>
        </w:tc>
        <w:tc>
          <w:tcPr>
            <w:tcW w:w="449"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ind w:firstLine="90" w:firstLineChars="50"/>
              <w:rPr>
                <w:rFonts w:ascii="仿宋" w:hAnsi="仿宋" w:eastAsia="仿宋" w:cs="Times New Roman"/>
                <w:color w:val="000000"/>
                <w:sz w:val="18"/>
                <w:szCs w:val="18"/>
              </w:rPr>
            </w:pPr>
            <w:r>
              <w:rPr>
                <w:rFonts w:hint="eastAsia" w:ascii="仿宋" w:hAnsi="仿宋" w:eastAsia="仿宋" w:cs="Times New Roman"/>
                <w:color w:val="000000"/>
                <w:sz w:val="18"/>
                <w:szCs w:val="18"/>
              </w:rPr>
              <w:t>6</w:t>
            </w:r>
          </w:p>
        </w:tc>
        <w:tc>
          <w:tcPr>
            <w:tcW w:w="720" w:type="dxa"/>
            <w:vMerge w:val="restart"/>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征地审查报批</w:t>
            </w:r>
          </w:p>
        </w:tc>
        <w:tc>
          <w:tcPr>
            <w:tcW w:w="720"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征地报批材料</w:t>
            </w:r>
          </w:p>
        </w:tc>
        <w:tc>
          <w:tcPr>
            <w:tcW w:w="2714" w:type="dxa"/>
            <w:noWrap w:val="0"/>
            <w:vAlign w:val="center"/>
          </w:tcPr>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1.建设用地呈报说明书、农用地转用方案、补充耕地方案、征收土地方案、供地方案；</w:t>
            </w:r>
          </w:p>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2.宗地范围等图件材料。</w:t>
            </w:r>
          </w:p>
        </w:tc>
        <w:tc>
          <w:tcPr>
            <w:tcW w:w="1260" w:type="dxa"/>
            <w:noWrap w:val="0"/>
            <w:vAlign w:val="center"/>
          </w:tcPr>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《土地管理法》《建设用地审查报批管理办法》《政府信息公开条例》</w:t>
            </w:r>
          </w:p>
        </w:tc>
        <w:tc>
          <w:tcPr>
            <w:tcW w:w="1980" w:type="dxa"/>
            <w:noWrap w:val="0"/>
            <w:vAlign w:val="center"/>
          </w:tcPr>
          <w:p>
            <w:pPr>
              <w:widowControl/>
              <w:spacing w:before="159" w:beforeLines="50" w:after="159" w:afterLines="50"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收到征地批准文件之日起10</w:t>
            </w:r>
            <w:r>
              <w:rPr>
                <w:rFonts w:ascii="仿宋" w:hAnsi="仿宋" w:eastAsia="仿宋" w:cs="Times New Roman"/>
                <w:color w:val="000000"/>
                <w:sz w:val="18"/>
                <w:szCs w:val="18"/>
              </w:rPr>
              <w:t>个工作日</w:t>
            </w:r>
            <w:r>
              <w:rPr>
                <w:rFonts w:hint="eastAsia" w:ascii="仿宋" w:hAnsi="仿宋" w:eastAsia="仿宋" w:cs="Times New Roman"/>
                <w:color w:val="000000"/>
                <w:sz w:val="18"/>
                <w:szCs w:val="18"/>
              </w:rPr>
              <w:t>内公开</w:t>
            </w:r>
          </w:p>
        </w:tc>
        <w:tc>
          <w:tcPr>
            <w:tcW w:w="1750" w:type="dxa"/>
            <w:noWrap w:val="0"/>
            <w:vAlign w:val="center"/>
          </w:tcPr>
          <w:p>
            <w:pPr>
              <w:widowControl/>
              <w:spacing w:line="26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w:t>
            </w:r>
          </w:p>
        </w:tc>
        <w:tc>
          <w:tcPr>
            <w:tcW w:w="1656" w:type="dxa"/>
            <w:noWrap w:val="0"/>
            <w:vAlign w:val="center"/>
          </w:tcPr>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260" w:lineRule="exact"/>
              <w:rPr>
                <w:rFonts w:ascii="仿宋" w:hAnsi="仿宋" w:eastAsia="仿宋" w:cs="Times New Roman"/>
                <w:color w:val="000000"/>
                <w:sz w:val="18"/>
                <w:szCs w:val="18"/>
              </w:rPr>
            </w:pPr>
          </w:p>
        </w:tc>
        <w:tc>
          <w:tcPr>
            <w:tcW w:w="554"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widowControl/>
              <w:spacing w:line="300" w:lineRule="exact"/>
              <w:jc w:val="center"/>
              <w:rPr>
                <w:rFonts w:ascii="仿宋" w:hAnsi="仿宋" w:eastAsia="仿宋" w:cs="Times New Roman"/>
                <w:color w:val="000000"/>
                <w:sz w:val="18"/>
                <w:szCs w:val="18"/>
              </w:rPr>
            </w:pPr>
          </w:p>
        </w:tc>
        <w:tc>
          <w:tcPr>
            <w:tcW w:w="551"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449"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spacing w:line="300" w:lineRule="exact"/>
              <w:jc w:val="center"/>
              <w:rPr>
                <w:rFonts w:ascii="仿宋" w:hAnsi="仿宋" w:eastAsia="仿宋" w:cs="Times New Roman"/>
                <w:color w:val="000000"/>
                <w:sz w:val="18"/>
                <w:szCs w:val="18"/>
              </w:rPr>
            </w:pPr>
          </w:p>
        </w:tc>
        <w:tc>
          <w:tcPr>
            <w:tcW w:w="567" w:type="dxa"/>
            <w:noWrap w:val="0"/>
            <w:vAlign w:val="center"/>
          </w:tcPr>
          <w:p>
            <w:pPr>
              <w:widowControl/>
              <w:spacing w:line="300" w:lineRule="exact"/>
              <w:jc w:val="center"/>
              <w:rPr>
                <w:rFonts w:ascii="仿宋" w:hAnsi="仿宋" w:eastAsia="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7</w:t>
            </w:r>
          </w:p>
        </w:tc>
        <w:tc>
          <w:tcPr>
            <w:tcW w:w="720" w:type="dxa"/>
            <w:vMerge w:val="continue"/>
            <w:noWrap w:val="0"/>
            <w:vAlign w:val="center"/>
          </w:tcPr>
          <w:p>
            <w:pPr>
              <w:widowControl/>
              <w:spacing w:line="300" w:lineRule="exact"/>
              <w:jc w:val="center"/>
              <w:rPr>
                <w:rFonts w:ascii="仿宋" w:hAnsi="仿宋" w:eastAsia="仿宋" w:cs="Times New Roman"/>
                <w:color w:val="000000"/>
                <w:sz w:val="18"/>
                <w:szCs w:val="18"/>
              </w:rPr>
            </w:pPr>
          </w:p>
        </w:tc>
        <w:tc>
          <w:tcPr>
            <w:tcW w:w="720"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征地批准文件</w:t>
            </w:r>
          </w:p>
        </w:tc>
        <w:tc>
          <w:tcPr>
            <w:tcW w:w="2714" w:type="dxa"/>
            <w:noWrap w:val="0"/>
            <w:vAlign w:val="center"/>
          </w:tcPr>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1.国务院批准用地批复文件（指用地由国务院批准）；</w:t>
            </w:r>
          </w:p>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2.省级人民政府批准用地批复文件（指用地由省级人民政府批准）；</w:t>
            </w:r>
          </w:p>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3.国务院批准城市用地后省级人民政府审核同意实施方案文件；</w:t>
            </w:r>
          </w:p>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4.地方人民政府转发用地批复文件；</w:t>
            </w:r>
          </w:p>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5.其他用地批准文件。</w:t>
            </w:r>
          </w:p>
        </w:tc>
        <w:tc>
          <w:tcPr>
            <w:tcW w:w="1260" w:type="dxa"/>
            <w:noWrap w:val="0"/>
            <w:vAlign w:val="center"/>
          </w:tcPr>
          <w:p>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收到征地批准文件之日起10个工作日内公开</w:t>
            </w:r>
          </w:p>
        </w:tc>
        <w:tc>
          <w:tcPr>
            <w:tcW w:w="1750" w:type="dxa"/>
            <w:noWrap w:val="0"/>
            <w:vAlign w:val="center"/>
          </w:tcPr>
          <w:p>
            <w:pPr>
              <w:widowControl/>
              <w:spacing w:line="26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w:t>
            </w:r>
          </w:p>
        </w:tc>
        <w:tc>
          <w:tcPr>
            <w:tcW w:w="1656" w:type="dxa"/>
            <w:noWrap w:val="0"/>
            <w:vAlign w:val="center"/>
          </w:tcPr>
          <w:p>
            <w:pPr>
              <w:widowControl/>
              <w:spacing w:line="320" w:lineRule="exact"/>
              <w:rPr>
                <w:rFonts w:hint="eastAsia"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pPr>
              <w:widowControl/>
              <w:spacing w:line="26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widowControl/>
              <w:spacing w:line="300" w:lineRule="exact"/>
              <w:jc w:val="center"/>
              <w:rPr>
                <w:rFonts w:ascii="仿宋" w:hAnsi="仿宋" w:eastAsia="仿宋" w:cs="Times New Roman"/>
                <w:color w:val="000000"/>
                <w:sz w:val="18"/>
                <w:szCs w:val="18"/>
              </w:rPr>
            </w:pPr>
          </w:p>
        </w:tc>
        <w:tc>
          <w:tcPr>
            <w:tcW w:w="551"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spacing w:line="300" w:lineRule="exact"/>
              <w:jc w:val="center"/>
              <w:rPr>
                <w:rFonts w:ascii="仿宋" w:hAnsi="仿宋" w:eastAsia="仿宋" w:cs="Times New Roman"/>
                <w:color w:val="000000"/>
                <w:sz w:val="18"/>
                <w:szCs w:val="18"/>
              </w:rPr>
            </w:pPr>
          </w:p>
        </w:tc>
        <w:tc>
          <w:tcPr>
            <w:tcW w:w="449"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8</w:t>
            </w:r>
          </w:p>
        </w:tc>
        <w:tc>
          <w:tcPr>
            <w:tcW w:w="720" w:type="dxa"/>
            <w:vMerge w:val="restart"/>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征地组织实施</w:t>
            </w:r>
          </w:p>
        </w:tc>
        <w:tc>
          <w:tcPr>
            <w:tcW w:w="720"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征收土地公告</w:t>
            </w:r>
          </w:p>
        </w:tc>
        <w:tc>
          <w:tcPr>
            <w:tcW w:w="2714" w:type="dxa"/>
            <w:noWrap w:val="0"/>
            <w:vAlign w:val="center"/>
          </w:tcPr>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《征收土地公告》内容包括：</w:t>
            </w:r>
          </w:p>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1.征地批准机关、批准文号、批准时间和批准用途；</w:t>
            </w:r>
          </w:p>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2.征地补偿安置方案；</w:t>
            </w:r>
          </w:p>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3.征地补偿费、安置补助费的支付对象和支付方式；</w:t>
            </w:r>
          </w:p>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4.农民农村住宅、其他地上附着物和青苗等费用的支付对象及支付方式；</w:t>
            </w:r>
          </w:p>
          <w:p>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5.其他需要公告的内容</w:t>
            </w:r>
            <w:r>
              <w:rPr>
                <w:rFonts w:ascii="仿宋" w:hAnsi="仿宋" w:eastAsia="仿宋" w:cs="Times New Roman"/>
                <w:color w:val="000000"/>
                <w:sz w:val="18"/>
                <w:szCs w:val="18"/>
              </w:rPr>
              <w:t>。</w:t>
            </w:r>
          </w:p>
        </w:tc>
        <w:tc>
          <w:tcPr>
            <w:tcW w:w="1260" w:type="dxa"/>
            <w:noWrap w:val="0"/>
            <w:vAlign w:val="center"/>
          </w:tcPr>
          <w:p>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p>
            <w:pPr>
              <w:widowControl/>
              <w:spacing w:line="260" w:lineRule="exact"/>
              <w:rPr>
                <w:rFonts w:ascii="仿宋" w:hAnsi="仿宋" w:eastAsia="仿宋" w:cs="Times New Roman"/>
                <w:color w:val="000000"/>
                <w:sz w:val="18"/>
                <w:szCs w:val="18"/>
              </w:rPr>
            </w:pPr>
          </w:p>
        </w:tc>
        <w:tc>
          <w:tcPr>
            <w:tcW w:w="1980" w:type="dxa"/>
            <w:noWrap w:val="0"/>
            <w:vAlign w:val="center"/>
          </w:tcPr>
          <w:p>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收到征地批准文件之日起10个工作日内公开</w:t>
            </w:r>
          </w:p>
        </w:tc>
        <w:tc>
          <w:tcPr>
            <w:tcW w:w="1750" w:type="dxa"/>
            <w:noWrap w:val="0"/>
            <w:vAlign w:val="center"/>
          </w:tcPr>
          <w:p>
            <w:pPr>
              <w:widowControl/>
              <w:spacing w:line="26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pPr>
              <w:widowControl/>
              <w:spacing w:line="26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镇公示栏</w:t>
            </w:r>
          </w:p>
          <w:p>
            <w:pPr>
              <w:widowControl/>
              <w:spacing w:line="26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pPr>
              <w:widowControl/>
              <w:spacing w:line="300" w:lineRule="exact"/>
              <w:jc w:val="center"/>
              <w:rPr>
                <w:rFonts w:ascii="仿宋" w:hAnsi="仿宋" w:eastAsia="仿宋" w:cs="Times New Roman"/>
                <w:color w:val="000000"/>
                <w:sz w:val="18"/>
                <w:szCs w:val="18"/>
              </w:rPr>
            </w:pPr>
          </w:p>
        </w:tc>
        <w:tc>
          <w:tcPr>
            <w:tcW w:w="551"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pPr>
              <w:widowControl/>
              <w:spacing w:line="300" w:lineRule="exact"/>
              <w:jc w:val="center"/>
              <w:rPr>
                <w:rFonts w:ascii="仿宋" w:hAnsi="仿宋" w:eastAsia="仿宋" w:cs="Times New Roman"/>
                <w:color w:val="000000"/>
                <w:sz w:val="18"/>
                <w:szCs w:val="18"/>
              </w:rPr>
            </w:pPr>
          </w:p>
        </w:tc>
        <w:tc>
          <w:tcPr>
            <w:tcW w:w="449"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9</w:t>
            </w:r>
          </w:p>
        </w:tc>
        <w:tc>
          <w:tcPr>
            <w:tcW w:w="720" w:type="dxa"/>
            <w:vMerge w:val="continue"/>
            <w:noWrap w:val="0"/>
            <w:vAlign w:val="center"/>
          </w:tcPr>
          <w:p>
            <w:pPr>
              <w:widowControl/>
              <w:spacing w:line="300" w:lineRule="exact"/>
              <w:jc w:val="center"/>
              <w:rPr>
                <w:rFonts w:hint="eastAsia" w:ascii="仿宋" w:hAnsi="仿宋" w:eastAsia="仿宋" w:cs="Times New Roman"/>
                <w:color w:val="000000"/>
                <w:sz w:val="18"/>
                <w:szCs w:val="18"/>
              </w:rPr>
            </w:pPr>
          </w:p>
        </w:tc>
        <w:tc>
          <w:tcPr>
            <w:tcW w:w="720" w:type="dxa"/>
            <w:noWrap w:val="0"/>
            <w:vAlign w:val="center"/>
          </w:tcPr>
          <w:p>
            <w:pPr>
              <w:widowControl/>
              <w:spacing w:line="320" w:lineRule="exact"/>
              <w:jc w:val="lef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征地补偿费用支付</w:t>
            </w:r>
          </w:p>
        </w:tc>
        <w:tc>
          <w:tcPr>
            <w:tcW w:w="2714" w:type="dxa"/>
            <w:noWrap w:val="0"/>
            <w:vAlign w:val="center"/>
          </w:tcPr>
          <w:p>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征地补偿费用支付凭证。</w:t>
            </w:r>
          </w:p>
          <w:p>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〔在被征地村公告栏张贴，予以公开，张贴之日起20个工作日后可依申请公开〕。</w:t>
            </w:r>
          </w:p>
        </w:tc>
        <w:tc>
          <w:tcPr>
            <w:tcW w:w="1260" w:type="dxa"/>
            <w:noWrap w:val="0"/>
            <w:vAlign w:val="center"/>
          </w:tcPr>
          <w:p>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《政府信息公开条例》、《征收土地公告办法》</w:t>
            </w:r>
          </w:p>
          <w:p>
            <w:pPr>
              <w:widowControl/>
              <w:spacing w:line="320" w:lineRule="exact"/>
              <w:rPr>
                <w:rFonts w:ascii="仿宋_GB2312" w:hAnsi="Calibri" w:eastAsia="仿宋_GB2312" w:cs="Times New Roman"/>
                <w:color w:val="000000"/>
                <w:sz w:val="18"/>
                <w:szCs w:val="18"/>
              </w:rPr>
            </w:pPr>
          </w:p>
        </w:tc>
        <w:tc>
          <w:tcPr>
            <w:tcW w:w="1980" w:type="dxa"/>
            <w:noWrap w:val="0"/>
            <w:vAlign w:val="center"/>
          </w:tcPr>
          <w:p>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获得支付凭证后5个工作日内予以公开。公示结束后，转为依申请公开。</w:t>
            </w:r>
          </w:p>
        </w:tc>
        <w:tc>
          <w:tcPr>
            <w:tcW w:w="1750" w:type="dxa"/>
            <w:noWrap w:val="0"/>
            <w:vAlign w:val="center"/>
          </w:tcPr>
          <w:p>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自然资源主管部门和负责农村集体土地征收的有关部门</w:t>
            </w:r>
          </w:p>
        </w:tc>
        <w:tc>
          <w:tcPr>
            <w:tcW w:w="1656" w:type="dxa"/>
            <w:noWrap w:val="0"/>
            <w:vAlign w:val="center"/>
          </w:tcPr>
          <w:p>
            <w:pPr>
              <w:widowControl/>
              <w:spacing w:line="26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镇公示栏</w:t>
            </w:r>
          </w:p>
          <w:p>
            <w:pPr>
              <w:widowControl/>
              <w:rPr>
                <w:rFonts w:ascii="仿宋_GB2312" w:hAnsi="Calibri" w:eastAsia="仿宋_GB2312"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pPr>
              <w:widowControl/>
              <w:jc w:val="center"/>
              <w:rPr>
                <w:rFonts w:ascii="仿宋_GB2312" w:hAnsi="Calibri" w:eastAsia="仿宋_GB2312" w:cs="Times New Roman"/>
                <w:color w:val="000000"/>
                <w:sz w:val="18"/>
                <w:szCs w:val="18"/>
              </w:rPr>
            </w:pPr>
          </w:p>
        </w:tc>
        <w:tc>
          <w:tcPr>
            <w:tcW w:w="875" w:type="dxa"/>
            <w:noWrap w:val="0"/>
            <w:vAlign w:val="center"/>
          </w:tcPr>
          <w:p>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√拟征收土地所在地的村集体成员</w:t>
            </w:r>
          </w:p>
        </w:tc>
        <w:tc>
          <w:tcPr>
            <w:tcW w:w="551" w:type="dxa"/>
            <w:noWrap w:val="0"/>
            <w:vAlign w:val="center"/>
          </w:tcPr>
          <w:p>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w:t>
            </w:r>
          </w:p>
        </w:tc>
        <w:tc>
          <w:tcPr>
            <w:tcW w:w="720" w:type="dxa"/>
            <w:noWrap w:val="0"/>
            <w:vAlign w:val="center"/>
          </w:tcPr>
          <w:p>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w:t>
            </w:r>
          </w:p>
        </w:tc>
        <w:tc>
          <w:tcPr>
            <w:tcW w:w="449" w:type="dxa"/>
            <w:noWrap w:val="0"/>
            <w:vAlign w:val="center"/>
          </w:tcPr>
          <w:p>
            <w:pPr>
              <w:widowControl/>
              <w:jc w:val="center"/>
              <w:rPr>
                <w:rFonts w:ascii="仿宋_GB2312" w:hAnsi="Calibri" w:eastAsia="仿宋_GB2312" w:cs="Times New Roman"/>
                <w:color w:val="000000"/>
                <w:sz w:val="18"/>
                <w:szCs w:val="18"/>
              </w:rPr>
            </w:pPr>
          </w:p>
        </w:tc>
        <w:tc>
          <w:tcPr>
            <w:tcW w:w="603" w:type="dxa"/>
            <w:noWrap w:val="0"/>
            <w:vAlign w:val="center"/>
          </w:tcPr>
          <w:p>
            <w:pPr>
              <w:widowControl/>
              <w:jc w:val="center"/>
              <w:rPr>
                <w:rFonts w:ascii="仿宋_GB2312" w:hAnsi="Calibri" w:eastAsia="仿宋_GB2312" w:cs="Times New Roman"/>
                <w:color w:val="000000"/>
                <w:sz w:val="18"/>
                <w:szCs w:val="18"/>
              </w:rPr>
            </w:pPr>
          </w:p>
        </w:tc>
        <w:tc>
          <w:tcPr>
            <w:tcW w:w="567" w:type="dxa"/>
            <w:noWrap w:val="0"/>
            <w:vAlign w:val="center"/>
          </w:tcPr>
          <w:p>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r>
    </w:tbl>
    <w:p>
      <w:pPr>
        <w:keepNext/>
        <w:keepLines/>
        <w:widowControl w:val="0"/>
        <w:spacing w:before="340" w:after="330" w:line="578" w:lineRule="auto"/>
        <w:jc w:val="both"/>
        <w:outlineLvl w:val="0"/>
        <w:rPr>
          <w:rFonts w:ascii="Calibri" w:hAnsi="Calibri" w:eastAsia="宋体" w:cs="Times New Roman"/>
          <w:b/>
          <w:bCs/>
          <w:color w:val="000000"/>
          <w:kern w:val="44"/>
          <w:sz w:val="44"/>
          <w:szCs w:val="44"/>
          <w:lang w:val="en-US" w:eastAsia="zh-CN" w:bidi="ar-SA"/>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1" w:name="_Toc24724716"/>
      <w:bookmarkStart w:id="12" w:name="_Toc4334"/>
      <w:r>
        <w:rPr>
          <w:rFonts w:hint="eastAsia" w:ascii="方正小标宋简体" w:hAnsi="方正小标宋简体" w:eastAsia="方正小标宋简体" w:cs="方正小标宋简体"/>
          <w:b w:val="0"/>
          <w:bCs w:val="0"/>
          <w:sz w:val="36"/>
          <w:szCs w:val="36"/>
          <w:lang w:val="en-US" w:eastAsia="zh-CN"/>
        </w:rPr>
        <w:t>（九）生态环境领域基层政务公开标准目录</w:t>
      </w:r>
      <w:bookmarkEnd w:id="11"/>
      <w:bookmarkEnd w:id="12"/>
    </w:p>
    <w:tbl>
      <w:tblPr>
        <w:tblStyle w:val="9"/>
        <w:tblW w:w="1588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99"/>
        <w:gridCol w:w="900"/>
        <w:gridCol w:w="2520"/>
        <w:gridCol w:w="2700"/>
        <w:gridCol w:w="1620"/>
        <w:gridCol w:w="1360"/>
        <w:gridCol w:w="980"/>
        <w:gridCol w:w="579"/>
        <w:gridCol w:w="709"/>
        <w:gridCol w:w="425"/>
        <w:gridCol w:w="709"/>
        <w:gridCol w:w="42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restart"/>
            <w:noWrap w:val="0"/>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69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公开内容（要素）</w:t>
            </w:r>
          </w:p>
        </w:tc>
        <w:tc>
          <w:tcPr>
            <w:tcW w:w="270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公开依据</w:t>
            </w:r>
          </w:p>
        </w:tc>
        <w:tc>
          <w:tcPr>
            <w:tcW w:w="162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公开时限</w:t>
            </w:r>
          </w:p>
        </w:tc>
        <w:tc>
          <w:tcPr>
            <w:tcW w:w="136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公开主体</w:t>
            </w:r>
          </w:p>
        </w:tc>
        <w:tc>
          <w:tcPr>
            <w:tcW w:w="980" w:type="dxa"/>
            <w:vMerge w:val="restart"/>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公开渠道和载体</w:t>
            </w:r>
          </w:p>
        </w:tc>
        <w:tc>
          <w:tcPr>
            <w:tcW w:w="1288" w:type="dxa"/>
            <w:gridSpan w:val="2"/>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公开对象</w:t>
            </w:r>
          </w:p>
        </w:tc>
        <w:tc>
          <w:tcPr>
            <w:tcW w:w="1134" w:type="dxa"/>
            <w:gridSpan w:val="2"/>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公开方式</w:t>
            </w:r>
          </w:p>
        </w:tc>
        <w:tc>
          <w:tcPr>
            <w:tcW w:w="2126" w:type="dxa"/>
            <w:gridSpan w:val="3"/>
            <w:noWrap w:val="0"/>
            <w:vAlign w:val="center"/>
          </w:tcPr>
          <w:p>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continue"/>
            <w:noWrap w:val="0"/>
            <w:vAlign w:val="center"/>
          </w:tcPr>
          <w:p>
            <w:pPr>
              <w:widowControl/>
              <w:jc w:val="left"/>
              <w:rPr>
                <w:rFonts w:ascii="Times New Roman" w:hAnsi="Times New Roman" w:eastAsia="宋体" w:cs="Times New Roman"/>
                <w:color w:val="000000"/>
                <w:kern w:val="0"/>
                <w:sz w:val="22"/>
              </w:rPr>
            </w:pPr>
          </w:p>
        </w:tc>
        <w:tc>
          <w:tcPr>
            <w:tcW w:w="79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520" w:type="dxa"/>
            <w:vMerge w:val="continue"/>
            <w:noWrap w:val="0"/>
            <w:vAlign w:val="center"/>
          </w:tcPr>
          <w:p>
            <w:pPr>
              <w:widowControl/>
              <w:jc w:val="left"/>
              <w:rPr>
                <w:rFonts w:ascii="黑体" w:hAnsi="宋体" w:eastAsia="黑体" w:cs="宋体"/>
                <w:color w:val="000000"/>
                <w:kern w:val="0"/>
                <w:sz w:val="18"/>
                <w:szCs w:val="18"/>
              </w:rPr>
            </w:pPr>
          </w:p>
        </w:tc>
        <w:tc>
          <w:tcPr>
            <w:tcW w:w="2700" w:type="dxa"/>
            <w:vMerge w:val="continue"/>
            <w:noWrap w:val="0"/>
            <w:vAlign w:val="center"/>
          </w:tcPr>
          <w:p>
            <w:pPr>
              <w:widowControl/>
              <w:jc w:val="left"/>
              <w:rPr>
                <w:rFonts w:ascii="黑体" w:hAnsi="宋体" w:eastAsia="黑体" w:cs="宋体"/>
                <w:color w:val="000000"/>
                <w:kern w:val="0"/>
                <w:sz w:val="18"/>
                <w:szCs w:val="18"/>
              </w:rPr>
            </w:pPr>
          </w:p>
        </w:tc>
        <w:tc>
          <w:tcPr>
            <w:tcW w:w="1620" w:type="dxa"/>
            <w:vMerge w:val="continue"/>
            <w:noWrap w:val="0"/>
            <w:vAlign w:val="center"/>
          </w:tcPr>
          <w:p>
            <w:pPr>
              <w:widowControl/>
              <w:jc w:val="left"/>
              <w:rPr>
                <w:rFonts w:ascii="黑体" w:hAnsi="宋体" w:eastAsia="黑体" w:cs="宋体"/>
                <w:color w:val="000000"/>
                <w:kern w:val="0"/>
                <w:sz w:val="18"/>
                <w:szCs w:val="18"/>
              </w:rPr>
            </w:pPr>
          </w:p>
        </w:tc>
        <w:tc>
          <w:tcPr>
            <w:tcW w:w="1360" w:type="dxa"/>
            <w:vMerge w:val="continue"/>
            <w:noWrap w:val="0"/>
            <w:vAlign w:val="center"/>
          </w:tcPr>
          <w:p>
            <w:pPr>
              <w:widowControl/>
              <w:jc w:val="left"/>
              <w:rPr>
                <w:rFonts w:ascii="黑体" w:hAnsi="宋体" w:eastAsia="黑体" w:cs="宋体"/>
                <w:color w:val="000000"/>
                <w:kern w:val="0"/>
                <w:sz w:val="18"/>
                <w:szCs w:val="18"/>
              </w:rPr>
            </w:pPr>
          </w:p>
        </w:tc>
        <w:tc>
          <w:tcPr>
            <w:tcW w:w="980" w:type="dxa"/>
            <w:vMerge w:val="continue"/>
            <w:noWrap w:val="0"/>
            <w:vAlign w:val="center"/>
          </w:tcPr>
          <w:p>
            <w:pPr>
              <w:widowControl/>
              <w:jc w:val="left"/>
              <w:rPr>
                <w:rFonts w:ascii="黑体" w:hAnsi="宋体" w:eastAsia="黑体" w:cs="宋体"/>
                <w:color w:val="000000"/>
                <w:kern w:val="0"/>
                <w:sz w:val="18"/>
                <w:szCs w:val="18"/>
              </w:rPr>
            </w:pPr>
          </w:p>
        </w:tc>
        <w:tc>
          <w:tcPr>
            <w:tcW w:w="57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70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425"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709"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425"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850" w:type="dxa"/>
            <w:noWrap w:val="0"/>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镇（街）级</w:t>
            </w:r>
          </w:p>
        </w:tc>
        <w:tc>
          <w:tcPr>
            <w:tcW w:w="851" w:type="dxa"/>
            <w:noWrap w:val="0"/>
            <w:vAlign w:val="center"/>
          </w:tcPr>
          <w:p>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461" w:type="dxa"/>
            <w:noWrap w:val="0"/>
            <w:vAlign w:val="center"/>
          </w:tcPr>
          <w:p>
            <w:pPr>
              <w:pStyle w:val="19"/>
              <w:adjustRightInd w:val="0"/>
              <w:snapToGrid w:val="0"/>
              <w:ind w:firstLine="0" w:firstLineChars="0"/>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1</w:t>
            </w:r>
          </w:p>
        </w:tc>
        <w:tc>
          <w:tcPr>
            <w:tcW w:w="799" w:type="dxa"/>
            <w:vMerge w:val="restart"/>
            <w:noWrap w:val="0"/>
            <w:vAlign w:val="center"/>
          </w:tcPr>
          <w:p>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行政处罚行政强制和行政</w:t>
            </w:r>
            <w:r>
              <w:rPr>
                <w:rFonts w:ascii="仿宋_GB2312" w:hAnsi="宋体" w:eastAsia="仿宋_GB2312" w:cs="Times New Roman"/>
                <w:color w:val="000000"/>
                <w:sz w:val="18"/>
                <w:szCs w:val="18"/>
              </w:rPr>
              <w:t>命令</w:t>
            </w:r>
          </w:p>
        </w:tc>
        <w:tc>
          <w:tcPr>
            <w:tcW w:w="900" w:type="dxa"/>
            <w:noWrap w:val="0"/>
            <w:vAlign w:val="center"/>
          </w:tcPr>
          <w:p>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行政处罚流程</w:t>
            </w:r>
          </w:p>
        </w:tc>
        <w:tc>
          <w:tcPr>
            <w:tcW w:w="2520" w:type="dxa"/>
            <w:noWrap w:val="0"/>
            <w:vAlign w:val="center"/>
          </w:tcPr>
          <w:p>
            <w:pPr>
              <w:pStyle w:val="19"/>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行政处罚的依据、条件、程序</w:t>
            </w:r>
          </w:p>
        </w:tc>
        <w:tc>
          <w:tcPr>
            <w:tcW w:w="2700" w:type="dxa"/>
            <w:vMerge w:val="restart"/>
            <w:noWrap w:val="0"/>
            <w:vAlign w:val="center"/>
          </w:tcPr>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s="Times New Roman"/>
                <w:color w:val="000000"/>
                <w:sz w:val="18"/>
                <w:szCs w:val="18"/>
              </w:rPr>
              <w:t>核安全法</w:t>
            </w:r>
            <w:r>
              <w:rPr>
                <w:rFonts w:hint="eastAsia" w:ascii="仿宋_GB2312" w:hAnsi="宋体" w:eastAsia="仿宋_GB2312" w:cs="Times New Roman"/>
                <w:color w:val="000000"/>
                <w:sz w:val="18"/>
                <w:szCs w:val="18"/>
              </w:rPr>
              <w:t>》、《环境影响评价法》、《政府信息公开条例》、《环境行政处罚办法》</w:t>
            </w:r>
          </w:p>
        </w:tc>
        <w:tc>
          <w:tcPr>
            <w:tcW w:w="1620" w:type="dxa"/>
            <w:vMerge w:val="restart"/>
            <w:noWrap w:val="0"/>
            <w:vAlign w:val="center"/>
          </w:tcPr>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自收到申请之日起</w:t>
            </w:r>
            <w:r>
              <w:rPr>
                <w:rFonts w:ascii="仿宋_GB2312" w:hAnsi="宋体" w:eastAsia="仿宋_GB2312" w:cs="Times New Roman"/>
                <w:color w:val="000000"/>
                <w:sz w:val="18"/>
                <w:szCs w:val="18"/>
              </w:rPr>
              <w:t>20</w:t>
            </w:r>
            <w:r>
              <w:rPr>
                <w:rFonts w:hint="eastAsia" w:ascii="仿宋_GB2312" w:hAnsi="宋体" w:eastAsia="仿宋_GB2312" w:cs="Times New Roman"/>
                <w:color w:val="000000"/>
                <w:sz w:val="18"/>
                <w:szCs w:val="18"/>
              </w:rPr>
              <w:t>个工作日内</w:t>
            </w:r>
          </w:p>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360" w:type="dxa"/>
            <w:noWrap w:val="0"/>
            <w:vAlign w:val="center"/>
          </w:tcPr>
          <w:p>
            <w:pPr>
              <w:adjustRightInd w:val="0"/>
              <w:snapToGrid w:val="0"/>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生态环境部门</w:t>
            </w:r>
          </w:p>
        </w:tc>
        <w:tc>
          <w:tcPr>
            <w:tcW w:w="980" w:type="dxa"/>
            <w:noWrap w:val="0"/>
            <w:vAlign w:val="center"/>
          </w:tcPr>
          <w:p>
            <w:pPr>
              <w:adjustRightInd w:val="0"/>
              <w:snapToGrid w:val="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■政府门户网站</w:t>
            </w:r>
          </w:p>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■精准推送</w:t>
            </w:r>
          </w:p>
        </w:tc>
        <w:tc>
          <w:tcPr>
            <w:tcW w:w="579" w:type="dxa"/>
            <w:noWrap w:val="0"/>
            <w:vAlign w:val="center"/>
          </w:tcPr>
          <w:p>
            <w:pPr>
              <w:adjustRightInd w:val="0"/>
              <w:snapToGrid w:val="0"/>
              <w:jc w:val="center"/>
              <w:rPr>
                <w:rFonts w:ascii="仿宋_GB2312" w:hAnsi="宋体" w:eastAsia="仿宋_GB2312" w:cs="Times New Roman"/>
                <w:color w:val="000000"/>
                <w:sz w:val="18"/>
                <w:szCs w:val="18"/>
              </w:rPr>
            </w:pPr>
          </w:p>
        </w:tc>
        <w:tc>
          <w:tcPr>
            <w:tcW w:w="709"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425" w:type="dxa"/>
            <w:noWrap w:val="0"/>
            <w:vAlign w:val="center"/>
          </w:tcPr>
          <w:p>
            <w:pPr>
              <w:adjustRightInd w:val="0"/>
              <w:snapToGrid w:val="0"/>
              <w:jc w:val="center"/>
              <w:rPr>
                <w:rFonts w:ascii="仿宋_GB2312" w:hAnsi="宋体" w:eastAsia="仿宋_GB2312" w:cs="Times New Roman"/>
                <w:color w:val="000000"/>
                <w:sz w:val="18"/>
                <w:szCs w:val="18"/>
              </w:rPr>
            </w:pPr>
          </w:p>
        </w:tc>
        <w:tc>
          <w:tcPr>
            <w:tcW w:w="709"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425"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0"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1" w:type="dxa"/>
            <w:noWrap w:val="0"/>
            <w:vAlign w:val="top"/>
          </w:tcPr>
          <w:p>
            <w:pPr>
              <w:adjustRightInd w:val="0"/>
              <w:snapToGrid w:val="0"/>
              <w:jc w:val="center"/>
              <w:rPr>
                <w:rFonts w:ascii="仿宋_GB2312" w:hAnsi="宋体" w:eastAsia="仿宋_GB2312" w:cs="Times New Roman"/>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61" w:type="dxa"/>
            <w:noWrap w:val="0"/>
            <w:vAlign w:val="center"/>
          </w:tcPr>
          <w:p>
            <w:pPr>
              <w:pStyle w:val="19"/>
              <w:adjustRightInd w:val="0"/>
              <w:snapToGrid w:val="0"/>
              <w:ind w:firstLine="0" w:firstLineChars="0"/>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2</w:t>
            </w:r>
          </w:p>
        </w:tc>
        <w:tc>
          <w:tcPr>
            <w:tcW w:w="799" w:type="dxa"/>
            <w:vMerge w:val="continue"/>
            <w:noWrap w:val="0"/>
            <w:vAlign w:val="center"/>
          </w:tcPr>
          <w:p>
            <w:pPr>
              <w:adjustRightInd w:val="0"/>
              <w:snapToGrid w:val="0"/>
              <w:rPr>
                <w:rFonts w:ascii="仿宋_GB2312" w:hAnsi="宋体" w:eastAsia="仿宋_GB2312" w:cs="Times New Roman"/>
                <w:color w:val="000000"/>
                <w:sz w:val="18"/>
                <w:szCs w:val="18"/>
              </w:rPr>
            </w:pPr>
          </w:p>
        </w:tc>
        <w:tc>
          <w:tcPr>
            <w:tcW w:w="900" w:type="dxa"/>
            <w:noWrap w:val="0"/>
            <w:vAlign w:val="center"/>
          </w:tcPr>
          <w:p>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行政处罚决定</w:t>
            </w:r>
          </w:p>
        </w:tc>
        <w:tc>
          <w:tcPr>
            <w:tcW w:w="2520" w:type="dxa"/>
            <w:noWrap w:val="0"/>
            <w:vAlign w:val="center"/>
          </w:tcPr>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行政处罚决定书（全文公开）</w:t>
            </w:r>
          </w:p>
        </w:tc>
        <w:tc>
          <w:tcPr>
            <w:tcW w:w="2700" w:type="dxa"/>
            <w:vMerge w:val="continue"/>
            <w:noWrap w:val="0"/>
            <w:vAlign w:val="center"/>
          </w:tcPr>
          <w:p>
            <w:pPr>
              <w:adjustRightInd w:val="0"/>
              <w:snapToGrid w:val="0"/>
              <w:rPr>
                <w:rFonts w:ascii="仿宋_GB2312" w:hAnsi="宋体" w:eastAsia="仿宋_GB2312" w:cs="Times New Roman"/>
                <w:color w:val="000000"/>
                <w:sz w:val="18"/>
                <w:szCs w:val="18"/>
              </w:rPr>
            </w:pPr>
          </w:p>
        </w:tc>
        <w:tc>
          <w:tcPr>
            <w:tcW w:w="1620" w:type="dxa"/>
            <w:vMerge w:val="continue"/>
            <w:noWrap w:val="0"/>
            <w:vAlign w:val="center"/>
          </w:tcPr>
          <w:p>
            <w:pPr>
              <w:adjustRightInd w:val="0"/>
              <w:snapToGrid w:val="0"/>
              <w:rPr>
                <w:rFonts w:ascii="仿宋_GB2312" w:hAnsi="宋体" w:eastAsia="仿宋_GB2312" w:cs="Times New Roman"/>
                <w:color w:val="000000"/>
                <w:sz w:val="18"/>
                <w:szCs w:val="18"/>
              </w:rPr>
            </w:pPr>
          </w:p>
        </w:tc>
        <w:tc>
          <w:tcPr>
            <w:tcW w:w="1360" w:type="dxa"/>
            <w:noWrap w:val="0"/>
            <w:vAlign w:val="center"/>
          </w:tcPr>
          <w:p>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生态环境部门</w:t>
            </w:r>
          </w:p>
        </w:tc>
        <w:tc>
          <w:tcPr>
            <w:tcW w:w="980" w:type="dxa"/>
            <w:noWrap w:val="0"/>
            <w:vAlign w:val="center"/>
          </w:tcPr>
          <w:p>
            <w:pPr>
              <w:adjustRightInd w:val="0"/>
              <w:snapToGrid w:val="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■政府门户网站</w:t>
            </w:r>
          </w:p>
          <w:p>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■单位公示栏</w:t>
            </w:r>
          </w:p>
        </w:tc>
        <w:tc>
          <w:tcPr>
            <w:tcW w:w="579"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709" w:type="dxa"/>
            <w:noWrap w:val="0"/>
            <w:vAlign w:val="center"/>
          </w:tcPr>
          <w:p>
            <w:pPr>
              <w:adjustRightInd w:val="0"/>
              <w:snapToGrid w:val="0"/>
              <w:jc w:val="center"/>
              <w:rPr>
                <w:rFonts w:ascii="仿宋_GB2312" w:hAnsi="宋体" w:eastAsia="仿宋_GB2312" w:cs="Times New Roman"/>
                <w:color w:val="000000"/>
                <w:sz w:val="18"/>
                <w:szCs w:val="18"/>
              </w:rPr>
            </w:pPr>
          </w:p>
        </w:tc>
        <w:tc>
          <w:tcPr>
            <w:tcW w:w="425"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709" w:type="dxa"/>
            <w:noWrap w:val="0"/>
            <w:vAlign w:val="center"/>
          </w:tcPr>
          <w:p>
            <w:pPr>
              <w:adjustRightInd w:val="0"/>
              <w:snapToGrid w:val="0"/>
              <w:jc w:val="center"/>
              <w:rPr>
                <w:rFonts w:ascii="仿宋_GB2312" w:hAnsi="宋体" w:eastAsia="仿宋_GB2312" w:cs="Times New Roman"/>
                <w:color w:val="000000"/>
                <w:sz w:val="18"/>
                <w:szCs w:val="18"/>
              </w:rPr>
            </w:pPr>
          </w:p>
        </w:tc>
        <w:tc>
          <w:tcPr>
            <w:tcW w:w="425"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0" w:type="dxa"/>
            <w:noWrap w:val="0"/>
            <w:vAlign w:val="center"/>
          </w:tcPr>
          <w:p>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1" w:type="dxa"/>
            <w:noWrap w:val="0"/>
            <w:vAlign w:val="top"/>
          </w:tcPr>
          <w:p>
            <w:pPr>
              <w:adjustRightInd w:val="0"/>
              <w:snapToGrid w:val="0"/>
              <w:jc w:val="center"/>
              <w:rPr>
                <w:rFonts w:ascii="仿宋_GB2312" w:hAnsi="宋体" w:eastAsia="仿宋_GB2312" w:cs="Times New Roman"/>
                <w:color w:val="000000"/>
                <w:sz w:val="18"/>
                <w:szCs w:val="18"/>
                <w:highlight w:val="yellow"/>
              </w:rPr>
            </w:pPr>
          </w:p>
        </w:tc>
      </w:tr>
    </w:tbl>
    <w:p>
      <w:pPr>
        <w:jc w:val="left"/>
        <w:rPr>
          <w:rFonts w:hint="eastAsia" w:ascii="Times New Roman" w:hAnsi="Times New Roman" w:eastAsia="方正小标宋_GBK" w:cs="Times New Roman"/>
          <w:sz w:val="28"/>
          <w:szCs w:val="28"/>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9"/>
        <w:tblW w:w="156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48"/>
        <w:gridCol w:w="696"/>
        <w:gridCol w:w="732"/>
        <w:gridCol w:w="1500"/>
        <w:gridCol w:w="1680"/>
        <w:gridCol w:w="960"/>
        <w:gridCol w:w="1020"/>
        <w:gridCol w:w="3492"/>
        <w:gridCol w:w="636"/>
        <w:gridCol w:w="612"/>
        <w:gridCol w:w="600"/>
        <w:gridCol w:w="600"/>
        <w:gridCol w:w="624"/>
        <w:gridCol w:w="68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658" w:type="dxa"/>
            <w:gridSpan w:val="16"/>
            <w:tcBorders>
              <w:top w:val="nil"/>
              <w:left w:val="nil"/>
              <w:bottom w:val="single" w:color="auto" w:sz="4" w:space="0"/>
              <w:right w:val="nil"/>
            </w:tcBorders>
            <w:shd w:val="clear" w:color="auto" w:fill="auto"/>
            <w:noWrap/>
            <w:vAlign w:val="center"/>
          </w:tcPr>
          <w:p>
            <w:pPr>
              <w:pStyle w:val="2"/>
              <w:bidi w:val="0"/>
              <w:jc w:val="center"/>
              <w:rPr>
                <w:rFonts w:ascii="黑体" w:hAnsi="黑体" w:eastAsia="黑体" w:cs="宋体"/>
                <w:color w:val="000000"/>
                <w:kern w:val="0"/>
                <w:szCs w:val="32"/>
              </w:rPr>
            </w:pPr>
            <w:bookmarkStart w:id="13" w:name="_Toc27910"/>
            <w:r>
              <w:rPr>
                <w:rFonts w:hint="eastAsia" w:ascii="方正小标宋简体" w:hAnsi="方正小标宋简体" w:eastAsia="方正小标宋简体" w:cs="方正小标宋简体"/>
                <w:b w:val="0"/>
                <w:bCs w:val="0"/>
                <w:sz w:val="36"/>
                <w:szCs w:val="36"/>
              </w:rPr>
              <w:t>（十）农村危房改造领域基层政务公开标准目录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419"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48"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1428"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50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168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96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1020" w:type="dxa"/>
            <w:vMerge w:val="restart"/>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3492" w:type="dxa"/>
            <w:vMerge w:val="restart"/>
            <w:tcBorders>
              <w:top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48"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00" w:type="dxa"/>
            <w:gridSpan w:val="2"/>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063" w:type="dxa"/>
            <w:gridSpan w:val="3"/>
            <w:tcBorders>
              <w:top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419" w:type="dxa"/>
            <w:vMerge w:val="continue"/>
            <w:vAlign w:val="center"/>
          </w:tcPr>
          <w:p>
            <w:pPr>
              <w:widowControl/>
              <w:jc w:val="left"/>
              <w:rPr>
                <w:rFonts w:ascii="宋体" w:hAnsi="宋体" w:eastAsia="宋体" w:cs="宋体"/>
                <w:b/>
                <w:bCs/>
                <w:color w:val="000000"/>
                <w:kern w:val="0"/>
                <w:sz w:val="18"/>
                <w:szCs w:val="18"/>
              </w:rPr>
            </w:pPr>
          </w:p>
        </w:tc>
        <w:tc>
          <w:tcPr>
            <w:tcW w:w="648" w:type="dxa"/>
            <w:vMerge w:val="continue"/>
            <w:vAlign w:val="center"/>
          </w:tcPr>
          <w:p>
            <w:pPr>
              <w:widowControl/>
              <w:jc w:val="left"/>
              <w:rPr>
                <w:rFonts w:ascii="宋体" w:hAnsi="宋体" w:eastAsia="宋体" w:cs="宋体"/>
                <w:b/>
                <w:bCs/>
                <w:color w:val="000000"/>
                <w:kern w:val="0"/>
                <w:sz w:val="18"/>
                <w:szCs w:val="18"/>
              </w:rPr>
            </w:pPr>
          </w:p>
        </w:tc>
        <w:tc>
          <w:tcPr>
            <w:tcW w:w="696"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3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500" w:type="dxa"/>
            <w:vMerge w:val="continue"/>
            <w:vAlign w:val="center"/>
          </w:tcPr>
          <w:p>
            <w:pPr>
              <w:widowControl/>
              <w:jc w:val="left"/>
              <w:rPr>
                <w:rFonts w:ascii="宋体" w:hAnsi="宋体" w:eastAsia="宋体" w:cs="宋体"/>
                <w:b/>
                <w:bCs/>
                <w:color w:val="000000"/>
                <w:kern w:val="0"/>
                <w:sz w:val="18"/>
                <w:szCs w:val="18"/>
              </w:rPr>
            </w:pPr>
          </w:p>
        </w:tc>
        <w:tc>
          <w:tcPr>
            <w:tcW w:w="1680" w:type="dxa"/>
            <w:vMerge w:val="continue"/>
            <w:vAlign w:val="center"/>
          </w:tcPr>
          <w:p>
            <w:pPr>
              <w:widowControl/>
              <w:jc w:val="left"/>
              <w:rPr>
                <w:rFonts w:ascii="宋体" w:hAnsi="宋体" w:eastAsia="宋体" w:cs="宋体"/>
                <w:b/>
                <w:bCs/>
                <w:color w:val="000000"/>
                <w:kern w:val="0"/>
                <w:sz w:val="18"/>
                <w:szCs w:val="18"/>
              </w:rPr>
            </w:pPr>
          </w:p>
        </w:tc>
        <w:tc>
          <w:tcPr>
            <w:tcW w:w="960" w:type="dxa"/>
            <w:vMerge w:val="continue"/>
            <w:vAlign w:val="center"/>
          </w:tcPr>
          <w:p>
            <w:pPr>
              <w:widowControl/>
              <w:jc w:val="left"/>
              <w:rPr>
                <w:rFonts w:ascii="宋体" w:hAnsi="宋体" w:eastAsia="宋体" w:cs="宋体"/>
                <w:b/>
                <w:bCs/>
                <w:color w:val="000000"/>
                <w:kern w:val="0"/>
                <w:sz w:val="18"/>
                <w:szCs w:val="18"/>
              </w:rPr>
            </w:pPr>
          </w:p>
        </w:tc>
        <w:tc>
          <w:tcPr>
            <w:tcW w:w="1020" w:type="dxa"/>
            <w:vMerge w:val="continue"/>
            <w:vAlign w:val="center"/>
          </w:tcPr>
          <w:p>
            <w:pPr>
              <w:widowControl/>
              <w:jc w:val="left"/>
              <w:rPr>
                <w:rFonts w:ascii="宋体" w:hAnsi="宋体" w:eastAsia="宋体" w:cs="宋体"/>
                <w:b/>
                <w:bCs/>
                <w:color w:val="000000"/>
                <w:kern w:val="0"/>
                <w:sz w:val="18"/>
                <w:szCs w:val="18"/>
              </w:rPr>
            </w:pPr>
          </w:p>
        </w:tc>
        <w:tc>
          <w:tcPr>
            <w:tcW w:w="3492" w:type="dxa"/>
            <w:vMerge w:val="continue"/>
            <w:vAlign w:val="center"/>
          </w:tcPr>
          <w:p>
            <w:pPr>
              <w:widowControl/>
              <w:jc w:val="left"/>
              <w:rPr>
                <w:rFonts w:ascii="宋体" w:hAnsi="宋体" w:eastAsia="宋体" w:cs="宋体"/>
                <w:b/>
                <w:bCs/>
                <w:color w:val="000000"/>
                <w:kern w:val="0"/>
                <w:sz w:val="18"/>
                <w:szCs w:val="18"/>
              </w:rPr>
            </w:pPr>
          </w:p>
        </w:tc>
        <w:tc>
          <w:tcPr>
            <w:tcW w:w="636"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6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24"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88" w:type="dxa"/>
            <w:shd w:val="clear" w:color="auto" w:fill="auto"/>
            <w:vAlign w:val="center"/>
          </w:tcPr>
          <w:p>
            <w:pPr>
              <w:widowControl/>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镇（街）级</w:t>
            </w:r>
          </w:p>
        </w:tc>
        <w:tc>
          <w:tcPr>
            <w:tcW w:w="751"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48"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15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1500" w:type="dxa"/>
            <w:vMerge w:val="continue"/>
            <w:vAlign w:val="center"/>
          </w:tcPr>
          <w:p>
            <w:pPr>
              <w:widowControl/>
              <w:jc w:val="left"/>
              <w:rPr>
                <w:rFonts w:ascii="宋体" w:hAnsi="宋体" w:eastAsia="宋体" w:cs="宋体"/>
                <w:color w:val="000000"/>
                <w:kern w:val="0"/>
                <w:sz w:val="18"/>
                <w:szCs w:val="18"/>
              </w:rPr>
            </w:pP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9"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168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□发布会/听证会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168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□两微一端      □发布会/听证会 </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□广播电视      □纸质媒体</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□公开查阅点    □政务服务中心</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□便民服务站    □入户/现场</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□社区/企事业单位/村公示栏（电子屏）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住房和城乡建设部门财政等部门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9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县级住房和城乡建设部门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4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5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乡镇人民政府村委会</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19" w:type="dxa"/>
            <w:shd w:val="clear" w:color="000000" w:fill="FFFFFF"/>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648" w:type="dxa"/>
            <w:vMerge w:val="restart"/>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419" w:type="dxa"/>
            <w:shd w:val="clear" w:color="000000" w:fill="FFFFFF"/>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73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000000" w:fill="FFFFFF"/>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w:t>
            </w:r>
          </w:p>
        </w:tc>
        <w:tc>
          <w:tcPr>
            <w:tcW w:w="648"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696"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168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省市县级住房和城乡建设等相关职能部门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419" w:type="dxa"/>
            <w:shd w:val="clear" w:color="000000" w:fill="FFFFFF"/>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648" w:type="dxa"/>
            <w:vMerge w:val="continue"/>
            <w:vAlign w:val="center"/>
          </w:tcPr>
          <w:p>
            <w:pPr>
              <w:widowControl/>
              <w:jc w:val="left"/>
              <w:rPr>
                <w:rFonts w:ascii="宋体" w:hAnsi="宋体" w:eastAsia="宋体" w:cs="宋体"/>
                <w:color w:val="000000"/>
                <w:kern w:val="0"/>
                <w:sz w:val="18"/>
                <w:szCs w:val="18"/>
              </w:rPr>
            </w:pPr>
          </w:p>
        </w:tc>
        <w:tc>
          <w:tcPr>
            <w:tcW w:w="696" w:type="dxa"/>
            <w:vMerge w:val="continue"/>
            <w:vAlign w:val="center"/>
          </w:tcPr>
          <w:p>
            <w:pPr>
              <w:widowControl/>
              <w:jc w:val="left"/>
              <w:rPr>
                <w:rFonts w:ascii="宋体" w:hAnsi="宋体" w:eastAsia="宋体" w:cs="宋体"/>
                <w:color w:val="000000"/>
                <w:kern w:val="0"/>
                <w:sz w:val="18"/>
                <w:szCs w:val="18"/>
              </w:rPr>
            </w:pPr>
          </w:p>
        </w:tc>
        <w:tc>
          <w:tcPr>
            <w:tcW w:w="73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1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1680" w:type="dxa"/>
            <w:vMerge w:val="continue"/>
            <w:vAlign w:val="center"/>
          </w:tcPr>
          <w:p>
            <w:pPr>
              <w:widowControl/>
              <w:jc w:val="left"/>
              <w:rPr>
                <w:rFonts w:ascii="宋体" w:hAnsi="宋体" w:eastAsia="宋体" w:cs="宋体"/>
                <w:color w:val="000000"/>
                <w:kern w:val="0"/>
                <w:sz w:val="18"/>
                <w:szCs w:val="18"/>
              </w:rPr>
            </w:pPr>
          </w:p>
        </w:tc>
        <w:tc>
          <w:tcPr>
            <w:tcW w:w="96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102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辖区政府县级住房和城乡建设等相关职能部门</w:t>
            </w:r>
          </w:p>
        </w:tc>
        <w:tc>
          <w:tcPr>
            <w:tcW w:w="3492"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63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1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4"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8"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4" w:name="_Toc24724723"/>
      <w:bookmarkStart w:id="15" w:name="_Toc4355"/>
      <w:r>
        <w:rPr>
          <w:rFonts w:hint="eastAsia" w:ascii="方正小标宋简体" w:hAnsi="方正小标宋简体" w:eastAsia="方正小标宋简体" w:cs="方正小标宋简体"/>
          <w:b w:val="0"/>
          <w:bCs w:val="0"/>
          <w:sz w:val="36"/>
          <w:szCs w:val="36"/>
          <w:lang w:val="en-US" w:eastAsia="zh-CN"/>
        </w:rPr>
        <w:t>（十一）公共文化服务领域基层政务公开标准目录</w:t>
      </w:r>
      <w:bookmarkEnd w:id="14"/>
      <w:bookmarkEnd w:id="15"/>
    </w:p>
    <w:tbl>
      <w:tblPr>
        <w:tblStyle w:val="9"/>
        <w:tblW w:w="15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09"/>
        <w:gridCol w:w="1487"/>
        <w:gridCol w:w="1450"/>
        <w:gridCol w:w="2538"/>
        <w:gridCol w:w="2337"/>
        <w:gridCol w:w="1586"/>
        <w:gridCol w:w="628"/>
        <w:gridCol w:w="893"/>
        <w:gridCol w:w="429"/>
        <w:gridCol w:w="428"/>
        <w:gridCol w:w="450"/>
        <w:gridCol w:w="489"/>
        <w:gridCol w:w="454"/>
        <w:gridCol w:w="451"/>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02" w:type="dxa"/>
            <w:vMerge w:val="restart"/>
            <w:noWrap w:val="0"/>
            <w:vAlign w:val="center"/>
          </w:tcPr>
          <w:p>
            <w:pPr>
              <w:widowControl/>
              <w:jc w:val="center"/>
              <w:rPr>
                <w:rFonts w:ascii="Times New Roman" w:hAnsi="Times New Roman" w:eastAsia="宋体" w:cs="Times New Roman"/>
                <w:color w:val="000000"/>
                <w:kern w:val="0"/>
                <w:sz w:val="22"/>
              </w:rPr>
            </w:pPr>
            <w:r>
              <w:rPr>
                <w:rFonts w:hint="eastAsia" w:ascii="黑体" w:hAnsi="宋体" w:eastAsia="黑体" w:cs="宋体"/>
                <w:color w:val="000000"/>
                <w:kern w:val="0"/>
                <w:sz w:val="22"/>
              </w:rPr>
              <w:t>序号</w:t>
            </w:r>
          </w:p>
        </w:tc>
        <w:tc>
          <w:tcPr>
            <w:tcW w:w="3646"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38"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37"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628"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89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857"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93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5" w:type="dxa"/>
            <w:gridSpan w:val="3"/>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502" w:type="dxa"/>
            <w:vMerge w:val="continue"/>
            <w:noWrap w:val="0"/>
            <w:vAlign w:val="center"/>
          </w:tcPr>
          <w:p>
            <w:pPr>
              <w:widowControl/>
              <w:jc w:val="center"/>
              <w:rPr>
                <w:rFonts w:ascii="Times New Roman" w:hAnsi="Times New Roman" w:eastAsia="宋体" w:cs="Times New Roman"/>
                <w:color w:val="000000"/>
                <w:kern w:val="0"/>
                <w:sz w:val="22"/>
              </w:rPr>
            </w:pP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8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45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三级</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事项</w:t>
            </w:r>
          </w:p>
        </w:tc>
        <w:tc>
          <w:tcPr>
            <w:tcW w:w="2538" w:type="dxa"/>
            <w:vMerge w:val="continue"/>
            <w:noWrap w:val="0"/>
            <w:vAlign w:val="center"/>
          </w:tcPr>
          <w:p>
            <w:pPr>
              <w:widowControl/>
              <w:jc w:val="left"/>
              <w:rPr>
                <w:rFonts w:ascii="黑体" w:hAnsi="宋体" w:eastAsia="黑体" w:cs="宋体"/>
                <w:color w:val="000000"/>
                <w:kern w:val="0"/>
                <w:sz w:val="22"/>
              </w:rPr>
            </w:pPr>
          </w:p>
        </w:tc>
        <w:tc>
          <w:tcPr>
            <w:tcW w:w="2337" w:type="dxa"/>
            <w:vMerge w:val="continue"/>
            <w:noWrap w:val="0"/>
            <w:vAlign w:val="center"/>
          </w:tcPr>
          <w:p>
            <w:pPr>
              <w:widowControl/>
              <w:jc w:val="left"/>
              <w:rPr>
                <w:rFonts w:ascii="黑体" w:hAnsi="宋体" w:eastAsia="黑体" w:cs="宋体"/>
                <w:color w:val="000000"/>
                <w:kern w:val="0"/>
                <w:sz w:val="22"/>
              </w:rPr>
            </w:pPr>
          </w:p>
        </w:tc>
        <w:tc>
          <w:tcPr>
            <w:tcW w:w="1586" w:type="dxa"/>
            <w:vMerge w:val="continue"/>
            <w:noWrap w:val="0"/>
            <w:vAlign w:val="center"/>
          </w:tcPr>
          <w:p>
            <w:pPr>
              <w:widowControl/>
              <w:jc w:val="left"/>
              <w:rPr>
                <w:rFonts w:ascii="黑体" w:hAnsi="宋体" w:eastAsia="黑体" w:cs="宋体"/>
                <w:color w:val="000000"/>
                <w:kern w:val="0"/>
                <w:sz w:val="22"/>
              </w:rPr>
            </w:pPr>
          </w:p>
        </w:tc>
        <w:tc>
          <w:tcPr>
            <w:tcW w:w="628" w:type="dxa"/>
            <w:vMerge w:val="continue"/>
            <w:noWrap w:val="0"/>
            <w:vAlign w:val="center"/>
          </w:tcPr>
          <w:p>
            <w:pPr>
              <w:widowControl/>
              <w:jc w:val="left"/>
              <w:rPr>
                <w:rFonts w:ascii="黑体" w:hAnsi="宋体" w:eastAsia="黑体" w:cs="宋体"/>
                <w:color w:val="000000"/>
                <w:kern w:val="0"/>
                <w:sz w:val="22"/>
              </w:rPr>
            </w:pPr>
          </w:p>
        </w:tc>
        <w:tc>
          <w:tcPr>
            <w:tcW w:w="893" w:type="dxa"/>
            <w:vMerge w:val="continue"/>
            <w:noWrap w:val="0"/>
            <w:vAlign w:val="center"/>
          </w:tcPr>
          <w:p>
            <w:pPr>
              <w:widowControl/>
              <w:jc w:val="left"/>
              <w:rPr>
                <w:rFonts w:ascii="黑体" w:hAnsi="宋体" w:eastAsia="黑体" w:cs="宋体"/>
                <w:kern w:val="0"/>
                <w:sz w:val="22"/>
              </w:rPr>
            </w:pPr>
          </w:p>
        </w:tc>
        <w:tc>
          <w:tcPr>
            <w:tcW w:w="42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42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48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5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市级</w:t>
            </w:r>
          </w:p>
        </w:tc>
        <w:tc>
          <w:tcPr>
            <w:tcW w:w="4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502" w:type="dxa"/>
            <w:vMerge w:val="restart"/>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1</w:t>
            </w:r>
          </w:p>
        </w:tc>
        <w:tc>
          <w:tcPr>
            <w:tcW w:w="709"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487" w:type="dxa"/>
            <w:vMerge w:val="restart"/>
            <w:noWrap w:val="0"/>
            <w:vAlign w:val="center"/>
          </w:tcPr>
          <w:p>
            <w:pPr>
              <w:spacing w:line="240" w:lineRule="exact"/>
              <w:rPr>
                <w:rFonts w:hint="eastAsia" w:ascii="仿宋_GB2312" w:hAnsi="Times New Roman" w:eastAsia="仿宋_GB2312" w:cs="Times New Roman"/>
                <w:sz w:val="18"/>
                <w:szCs w:val="18"/>
                <w:highlight w:val="yellow"/>
              </w:rPr>
            </w:pPr>
            <w:r>
              <w:rPr>
                <w:rFonts w:hint="eastAsia" w:ascii="仿宋_GB2312" w:hAnsi="Times New Roman" w:eastAsia="仿宋_GB2312" w:cs="Times New Roman"/>
                <w:sz w:val="18"/>
                <w:szCs w:val="18"/>
              </w:rPr>
              <w:t>特殊群体公共文化服务信息公共文化机构免费开放信息</w:t>
            </w: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502" w:type="dxa"/>
            <w:vMerge w:val="continue"/>
            <w:noWrap w:val="0"/>
            <w:vAlign w:val="center"/>
          </w:tcPr>
          <w:p>
            <w:pPr>
              <w:spacing w:line="240" w:lineRule="exact"/>
              <w:jc w:val="center"/>
              <w:rPr>
                <w:rFonts w:hint="eastAsia" w:ascii="仿宋_GB2312" w:hAnsi="Times New Roman" w:eastAsia="仿宋_GB2312" w:cs="Times New Roman"/>
                <w:sz w:val="18"/>
                <w:szCs w:val="18"/>
                <w:highlight w:val="yellow"/>
              </w:rPr>
            </w:pPr>
          </w:p>
        </w:tc>
        <w:tc>
          <w:tcPr>
            <w:tcW w:w="709" w:type="dxa"/>
            <w:vMerge w:val="continue"/>
            <w:noWrap w:val="0"/>
            <w:vAlign w:val="center"/>
          </w:tcPr>
          <w:p>
            <w:pPr>
              <w:spacing w:line="240" w:lineRule="exact"/>
              <w:rPr>
                <w:rFonts w:hint="eastAsia" w:ascii="仿宋_GB2312" w:hAnsi="Times New Roman" w:eastAsia="仿宋_GB2312" w:cs="Times New Roman"/>
                <w:sz w:val="18"/>
                <w:szCs w:val="18"/>
                <w:highlight w:val="yellow"/>
              </w:rPr>
            </w:pPr>
          </w:p>
        </w:tc>
        <w:tc>
          <w:tcPr>
            <w:tcW w:w="1487" w:type="dxa"/>
            <w:vMerge w:val="continue"/>
            <w:noWrap w:val="0"/>
            <w:vAlign w:val="center"/>
          </w:tcPr>
          <w:p>
            <w:pPr>
              <w:spacing w:line="240" w:lineRule="exact"/>
              <w:rPr>
                <w:rFonts w:hint="eastAsia" w:ascii="仿宋_GB2312" w:hAnsi="Times New Roman" w:eastAsia="仿宋_GB2312" w:cs="Times New Roman"/>
                <w:sz w:val="18"/>
                <w:szCs w:val="18"/>
                <w:highlight w:val="yellow"/>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《残疾人保障法》、《政府信息公开条例》、《中共中央办公厅 国务院办公厅印发关于加快构建现代公共文化服务体系的意见》</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2</w:t>
            </w:r>
          </w:p>
        </w:tc>
        <w:tc>
          <w:tcPr>
            <w:tcW w:w="709"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87"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文博单位名录非物质文化遗产展示传播活动辅导和培训基层文化骨干举办各类展览、讲座信息下基层辅导、演出、展览和指导基层群众文化活动组织开展群众文化活动</w:t>
            </w: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3</w:t>
            </w:r>
          </w:p>
        </w:tc>
        <w:tc>
          <w:tcPr>
            <w:tcW w:w="709" w:type="dxa"/>
            <w:noWrap w:val="0"/>
            <w:vAlign w:val="center"/>
          </w:tcPr>
          <w:p>
            <w:pPr>
              <w:spacing w:line="240" w:lineRule="exact"/>
              <w:rPr>
                <w:rFonts w:hint="eastAsia" w:ascii="仿宋_GB2312" w:hAnsi="Times New Roman" w:eastAsia="仿宋_GB2312" w:cs="Times New Roman"/>
                <w:sz w:val="18"/>
                <w:szCs w:val="18"/>
              </w:rPr>
            </w:pPr>
          </w:p>
        </w:tc>
        <w:tc>
          <w:tcPr>
            <w:tcW w:w="1487"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《政府信息公开条例》、《文化馆服务标准》</w:t>
            </w:r>
          </w:p>
        </w:tc>
        <w:tc>
          <w:tcPr>
            <w:tcW w:w="1586" w:type="dxa"/>
            <w:noWrap w:val="0"/>
            <w:vAlign w:val="center"/>
          </w:tcPr>
          <w:p>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4</w:t>
            </w:r>
          </w:p>
        </w:tc>
        <w:tc>
          <w:tcPr>
            <w:tcW w:w="709" w:type="dxa"/>
            <w:vMerge w:val="restart"/>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487"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b/>
                <w:bCs/>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5"/>
                <w:szCs w:val="15"/>
              </w:rPr>
            </w:pPr>
            <w:r>
              <w:rPr>
                <w:rFonts w:hint="eastAsia" w:ascii="仿宋_GB2312" w:hAnsi="Times New Roman" w:eastAsia="仿宋_GB2312" w:cs="Times New Roman"/>
                <w:sz w:val="18"/>
                <w:szCs w:val="18"/>
              </w:rPr>
              <w:t>《政府信息公开条例》、《乡镇综合文化站管理办法》</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5</w:t>
            </w:r>
          </w:p>
        </w:tc>
        <w:tc>
          <w:tcPr>
            <w:tcW w:w="709"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87"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6</w:t>
            </w:r>
          </w:p>
        </w:tc>
        <w:tc>
          <w:tcPr>
            <w:tcW w:w="709"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87"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《非物质文化遗产法》、《政府信息公开条例》  </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7</w:t>
            </w:r>
          </w:p>
        </w:tc>
        <w:tc>
          <w:tcPr>
            <w:tcW w:w="709"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87" w:type="dxa"/>
            <w:vMerge w:val="continue"/>
            <w:noWrap w:val="0"/>
            <w:vAlign w:val="center"/>
          </w:tcPr>
          <w:p>
            <w:pPr>
              <w:spacing w:line="240" w:lineRule="exact"/>
              <w:rPr>
                <w:rFonts w:hint="eastAsia" w:ascii="仿宋_GB2312" w:hAnsi="Times New Roman" w:eastAsia="仿宋_GB2312" w:cs="Times New Roman"/>
                <w:sz w:val="18"/>
                <w:szCs w:val="18"/>
              </w:rPr>
            </w:pPr>
          </w:p>
        </w:tc>
        <w:tc>
          <w:tcPr>
            <w:tcW w:w="1450" w:type="dxa"/>
            <w:noWrap w:val="0"/>
            <w:vAlign w:val="center"/>
          </w:tcPr>
          <w:p>
            <w:pPr>
              <w:spacing w:line="240" w:lineRule="exact"/>
              <w:rPr>
                <w:rFonts w:hint="eastAsia" w:ascii="仿宋_GB2312" w:hAnsi="Times New Roman" w:eastAsia="仿宋_GB2312" w:cs="Times New Roman"/>
                <w:sz w:val="18"/>
                <w:szCs w:val="18"/>
              </w:rPr>
            </w:pPr>
          </w:p>
        </w:tc>
        <w:tc>
          <w:tcPr>
            <w:tcW w:w="253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文物保护管理机构和博物馆名录。</w:t>
            </w:r>
          </w:p>
        </w:tc>
        <w:tc>
          <w:tcPr>
            <w:tcW w:w="2337"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w:t>
            </w:r>
          </w:p>
        </w:tc>
        <w:tc>
          <w:tcPr>
            <w:tcW w:w="1586"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893"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6" w:name="_Toc1135"/>
      <w:r>
        <w:rPr>
          <w:rFonts w:hint="eastAsia" w:ascii="方正小标宋简体" w:hAnsi="方正小标宋简体" w:eastAsia="方正小标宋简体" w:cs="方正小标宋简体"/>
          <w:b w:val="0"/>
          <w:bCs w:val="0"/>
          <w:sz w:val="36"/>
          <w:szCs w:val="36"/>
          <w:lang w:val="en-US" w:eastAsia="zh-CN"/>
        </w:rPr>
        <w:t>（十二）安全生产领域基层政务公开标准目录</w:t>
      </w:r>
      <w:bookmarkEnd w:id="16"/>
    </w:p>
    <w:tbl>
      <w:tblPr>
        <w:tblStyle w:val="9"/>
        <w:tblW w:w="5170" w:type="pct"/>
        <w:tblInd w:w="-276" w:type="dxa"/>
        <w:tblLayout w:type="fixed"/>
        <w:tblCellMar>
          <w:top w:w="15" w:type="dxa"/>
          <w:left w:w="15" w:type="dxa"/>
          <w:bottom w:w="15" w:type="dxa"/>
          <w:right w:w="15" w:type="dxa"/>
        </w:tblCellMar>
      </w:tblPr>
      <w:tblGrid>
        <w:gridCol w:w="570"/>
        <w:gridCol w:w="709"/>
        <w:gridCol w:w="853"/>
        <w:gridCol w:w="2692"/>
        <w:gridCol w:w="2831"/>
        <w:gridCol w:w="1418"/>
        <w:gridCol w:w="1141"/>
        <w:gridCol w:w="849"/>
        <w:gridCol w:w="566"/>
        <w:gridCol w:w="681"/>
        <w:gridCol w:w="478"/>
        <w:gridCol w:w="687"/>
        <w:gridCol w:w="557"/>
        <w:gridCol w:w="711"/>
      </w:tblGrid>
      <w:tr>
        <w:tblPrEx>
          <w:tblCellMar>
            <w:top w:w="15" w:type="dxa"/>
            <w:left w:w="15" w:type="dxa"/>
            <w:bottom w:w="15" w:type="dxa"/>
            <w:right w:w="15" w:type="dxa"/>
          </w:tblCellMar>
        </w:tblPrEx>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52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公开事项</w:t>
            </w:r>
          </w:p>
        </w:tc>
        <w:tc>
          <w:tcPr>
            <w:tcW w:w="91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公开内容（要素）</w:t>
            </w:r>
          </w:p>
        </w:tc>
        <w:tc>
          <w:tcPr>
            <w:tcW w:w="96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公开依据</w:t>
            </w:r>
          </w:p>
        </w:tc>
        <w:tc>
          <w:tcPr>
            <w:tcW w:w="48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公开时限</w:t>
            </w:r>
          </w:p>
        </w:tc>
        <w:tc>
          <w:tcPr>
            <w:tcW w:w="38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公开主体</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公开渠道和载体</w:t>
            </w:r>
          </w:p>
        </w:tc>
        <w:tc>
          <w:tcPr>
            <w:tcW w:w="42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公开对象</w:t>
            </w:r>
          </w:p>
        </w:tc>
        <w:tc>
          <w:tcPr>
            <w:tcW w:w="39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公开方式</w:t>
            </w:r>
          </w:p>
        </w:tc>
        <w:tc>
          <w:tcPr>
            <w:tcW w:w="43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公开层级</w:t>
            </w:r>
          </w:p>
        </w:tc>
      </w:tr>
      <w:tr>
        <w:tblPrEx>
          <w:tblCellMar>
            <w:top w:w="15" w:type="dxa"/>
            <w:left w:w="15" w:type="dxa"/>
            <w:bottom w:w="15" w:type="dxa"/>
            <w:right w:w="15" w:type="dxa"/>
          </w:tblCellMar>
        </w:tblPrEx>
        <w:trPr>
          <w:trHeight w:val="755" w:hRule="atLeast"/>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一级事项</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二级事项</w:t>
            </w:r>
          </w:p>
        </w:tc>
        <w:tc>
          <w:tcPr>
            <w:tcW w:w="912"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96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48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38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微软雅黑" w:hAnsi="微软雅黑" w:eastAsia="微软雅黑" w:cs="宋体"/>
                <w:b/>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全社会</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特定群众</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主动</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依申请</w:t>
            </w: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县级</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镇（街道）、村级</w:t>
            </w:r>
          </w:p>
        </w:tc>
      </w:tr>
      <w:tr>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与安全生产有关的法律、法规</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81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与安全生产有关的部门和地方规章</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其他可以公开的与安全生产有关的政策文件，包括改革方案、发展规划、专项规划、工作计划等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通过会议讨论作出重要改革方案等重大决策时，经党组研究认为有必要公开讨论决策过程的会议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6</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9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7</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隐患管理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重大隐患排查、挂牌督办及其整改情况，安全生产举报电话等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8</w:t>
            </w:r>
          </w:p>
        </w:tc>
        <w:tc>
          <w:tcPr>
            <w:tcW w:w="24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承担处置主责、非敏感的应急信息，包括事故灾害类预警信息、事故信息、事故后采取的应急处置措施和应对结果等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1.《中华人民共和国政府信息公开条例》（国务院令第711号）2.《突发事件应对法》3.《关于全面推进政务公开工作的意见》（中办发〔2016〕8号）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180"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9</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业务工作动态、安全生产执法检查动态</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10</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安全生产预警提示信息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安全生产提示信息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信息形成后及时公开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11</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财政资金信息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预算、决算</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“三公”经费</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安全生产专项资金使用等财政资金信息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按中央要求时限公开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29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12</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政府采购信息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本单位采购实施情况相关信息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4"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办事纪律和监督管理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本单位的办事纪律,受理投诉、举报、信访的途径等内容</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检查和巡查发现安全监管监察问题</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检查和巡查发现的、并要求向社会公开的问题及整改落实情况</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bl>
    <w:p>
      <w:pPr>
        <w:rPr>
          <w:rFonts w:ascii="Times New Roman" w:hAnsi="Times New Roman" w:eastAsia="宋体" w:cs="Times New Roman"/>
          <w:szCs w:val="24"/>
        </w:rPr>
      </w:pPr>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7" w:name="_Toc13169"/>
      <w:r>
        <w:rPr>
          <w:rFonts w:hint="eastAsia" w:ascii="方正小标宋简体" w:hAnsi="方正小标宋简体" w:eastAsia="方正小标宋简体" w:cs="方正小标宋简体"/>
          <w:b w:val="0"/>
          <w:bCs w:val="0"/>
          <w:sz w:val="36"/>
          <w:szCs w:val="36"/>
          <w:lang w:val="en-US" w:eastAsia="zh-CN"/>
        </w:rPr>
        <w:t>（十三）救灾领域基层政务公开标准目录</w:t>
      </w:r>
      <w:bookmarkEnd w:id="17"/>
    </w:p>
    <w:tbl>
      <w:tblPr>
        <w:tblStyle w:val="9"/>
        <w:tblW w:w="5000" w:type="pct"/>
        <w:jc w:val="center"/>
        <w:tblLayout w:type="fixed"/>
        <w:tblCellMar>
          <w:top w:w="15" w:type="dxa"/>
          <w:left w:w="15" w:type="dxa"/>
          <w:bottom w:w="15" w:type="dxa"/>
          <w:right w:w="15" w:type="dxa"/>
        </w:tblCellMar>
      </w:tblPr>
      <w:tblGrid>
        <w:gridCol w:w="652"/>
        <w:gridCol w:w="733"/>
        <w:gridCol w:w="1032"/>
        <w:gridCol w:w="2196"/>
        <w:gridCol w:w="2190"/>
        <w:gridCol w:w="1836"/>
        <w:gridCol w:w="1132"/>
        <w:gridCol w:w="990"/>
        <w:gridCol w:w="425"/>
        <w:gridCol w:w="707"/>
        <w:gridCol w:w="525"/>
        <w:gridCol w:w="559"/>
        <w:gridCol w:w="525"/>
        <w:gridCol w:w="756"/>
      </w:tblGrid>
      <w:tr>
        <w:tblPrEx>
          <w:tblCellMar>
            <w:top w:w="15" w:type="dxa"/>
            <w:left w:w="15" w:type="dxa"/>
            <w:bottom w:w="15" w:type="dxa"/>
            <w:right w:w="15" w:type="dxa"/>
          </w:tblCellMar>
        </w:tblPrEx>
        <w:trPr>
          <w:jc w:val="center"/>
        </w:trPr>
        <w:tc>
          <w:tcPr>
            <w:tcW w:w="22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61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公开事项</w:t>
            </w:r>
          </w:p>
        </w:tc>
        <w:tc>
          <w:tcPr>
            <w:tcW w:w="7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公开内容（要素）</w:t>
            </w:r>
          </w:p>
        </w:tc>
        <w:tc>
          <w:tcPr>
            <w:tcW w:w="76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公开依据</w:t>
            </w:r>
          </w:p>
        </w:tc>
        <w:tc>
          <w:tcPr>
            <w:tcW w:w="64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公开时限</w:t>
            </w:r>
          </w:p>
        </w:tc>
        <w:tc>
          <w:tcPr>
            <w:tcW w:w="39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公开主体</w:t>
            </w:r>
          </w:p>
        </w:tc>
        <w:tc>
          <w:tcPr>
            <w:tcW w:w="34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公开渠道和载体</w:t>
            </w:r>
          </w:p>
        </w:tc>
        <w:tc>
          <w:tcPr>
            <w:tcW w:w="396"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公开对象</w:t>
            </w:r>
          </w:p>
        </w:tc>
        <w:tc>
          <w:tcPr>
            <w:tcW w:w="38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公开方式</w:t>
            </w:r>
          </w:p>
        </w:tc>
        <w:tc>
          <w:tcPr>
            <w:tcW w:w="44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公开层级</w:t>
            </w:r>
          </w:p>
        </w:tc>
      </w:tr>
      <w:tr>
        <w:tblPrEx>
          <w:tblCellMar>
            <w:top w:w="15" w:type="dxa"/>
            <w:left w:w="15" w:type="dxa"/>
            <w:bottom w:w="15" w:type="dxa"/>
            <w:right w:w="15" w:type="dxa"/>
          </w:tblCellMar>
        </w:tblPrEx>
        <w:trPr>
          <w:trHeight w:val="694" w:hRule="atLeast"/>
          <w:jc w:val="center"/>
        </w:trPr>
        <w:tc>
          <w:tcPr>
            <w:tcW w:w="22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一级事项</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二级事项</w:t>
            </w:r>
          </w:p>
        </w:tc>
        <w:tc>
          <w:tcPr>
            <w:tcW w:w="7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76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396"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微软雅黑" w:hAnsi="微软雅黑" w:eastAsia="微软雅黑" w:cs="宋体"/>
                <w:b/>
                <w:bCs/>
                <w:kern w:val="0"/>
                <w:sz w:val="18"/>
                <w:szCs w:val="18"/>
              </w:rPr>
            </w:pP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全社会</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特定群众</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主动</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依申请</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县级</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镇（街道）、村级</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与救灾有关的法律、法规</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8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与救灾有关的部门和地方规章、规范性文件</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其他可以公开的与救灾有关的政策文件，包括改革方案、发展规划、专项规划、工作计划等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有关重大政策的解读及回应</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相关热点问题的解读及回应</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1.《中华人民共和国政府信息公开条例》（国务院令第711号）2.《国务院办公厅关于在政务公开工作中进一步做好政务舆情回应的通知》（国办发〔2016〕61号）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7</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以会议讨论作出重要改革方案等重大决策时，经党组研究认为有必要公开讨论决策过程的会议</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8</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077"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9</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综合减灾示范社区分布情况（其具体位置、创建时间、创建级别等）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10</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救助审定信息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自然灾害救助（5类）的救助对象、申报材料、办理程序及时限等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203"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11</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应急管理部门审批</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救助款物通知及划拨情况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3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12</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84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13</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居民住房恢复重建救助标准（居民因灾倒房、损房恢复重建具体救助标准）</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居民住房恢复重建救助对象评议结果公示（公开受灾群众姓名、受灾情况、拟救助标准、监督举报电话）</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667"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14</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款物</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捐赠款物信息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年度捐赠款物信息以及款物使用情况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15</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年度款物使用情况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年度救灾资金和救灾物资等使用情况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426"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16</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防灾减灾救灾其他相关动态信息</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bl>
    <w:p>
      <w:pPr>
        <w:rPr>
          <w:rFonts w:ascii="Times New Roman" w:hAnsi="Times New Roman" w:eastAsia="宋体" w:cs="Times New Roman"/>
          <w:szCs w:val="24"/>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rPr>
      </w:pPr>
      <w:bookmarkStart w:id="18" w:name="_Toc21576"/>
      <w:r>
        <w:rPr>
          <w:rFonts w:hint="eastAsia" w:ascii="方正小标宋简体" w:hAnsi="方正小标宋简体" w:eastAsia="方正小标宋简体" w:cs="方正小标宋简体"/>
          <w:b w:val="0"/>
          <w:bCs w:val="0"/>
          <w:sz w:val="36"/>
          <w:szCs w:val="36"/>
        </w:rPr>
        <w:t>（十四）食品药品监管领域基层政务公开标准目录</w:t>
      </w:r>
      <w:bookmarkEnd w:id="18"/>
    </w:p>
    <w:p>
      <w:pPr>
        <w:snapToGrid w:val="0"/>
        <w:spacing w:line="240" w:lineRule="exact"/>
        <w:rPr>
          <w:rFonts w:ascii="Times New Roman" w:hAnsi="Times New Roman" w:eastAsia="方正小标宋_GBK" w:cs="Times New Roman"/>
          <w:color w:val="000000"/>
          <w:sz w:val="30"/>
          <w:szCs w:val="24"/>
        </w:rPr>
      </w:pPr>
    </w:p>
    <w:tbl>
      <w:tblPr>
        <w:tblStyle w:val="9"/>
        <w:tblW w:w="5000" w:type="pct"/>
        <w:jc w:val="center"/>
        <w:tblLayout w:type="autofit"/>
        <w:tblCellMar>
          <w:top w:w="0" w:type="dxa"/>
          <w:left w:w="108" w:type="dxa"/>
          <w:bottom w:w="0" w:type="dxa"/>
          <w:right w:w="108" w:type="dxa"/>
        </w:tblCellMar>
      </w:tblPr>
      <w:tblGrid>
        <w:gridCol w:w="436"/>
        <w:gridCol w:w="803"/>
        <w:gridCol w:w="820"/>
        <w:gridCol w:w="2363"/>
        <w:gridCol w:w="2874"/>
        <w:gridCol w:w="780"/>
        <w:gridCol w:w="781"/>
        <w:gridCol w:w="1621"/>
        <w:gridCol w:w="605"/>
        <w:gridCol w:w="611"/>
        <w:gridCol w:w="605"/>
        <w:gridCol w:w="611"/>
        <w:gridCol w:w="608"/>
        <w:gridCol w:w="656"/>
      </w:tblGrid>
      <w:tr>
        <w:tblPrEx>
          <w:tblCellMar>
            <w:top w:w="0" w:type="dxa"/>
            <w:left w:w="108" w:type="dxa"/>
            <w:bottom w:w="0" w:type="dxa"/>
            <w:right w:w="108" w:type="dxa"/>
          </w:tblCellMar>
        </w:tblPrEx>
        <w:trPr>
          <w:trHeight w:val="713" w:hRule="atLeast"/>
          <w:tblHeader/>
          <w:jc w:val="center"/>
        </w:trPr>
        <w:tc>
          <w:tcPr>
            <w:tcW w:w="14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_GB2312" w:cs="Times New Roman"/>
                <w:color w:val="000000"/>
                <w:kern w:val="0"/>
                <w:sz w:val="22"/>
                <w:szCs w:val="24"/>
              </w:rPr>
            </w:pPr>
            <w:r>
              <w:rPr>
                <w:rFonts w:ascii="Times New Roman" w:hAnsi="Times New Roman" w:eastAsia="黑体" w:cs="Times New Roman"/>
                <w:color w:val="000000"/>
                <w:kern w:val="0"/>
                <w:sz w:val="22"/>
                <w:szCs w:val="24"/>
              </w:rPr>
              <w:t>序号</w:t>
            </w:r>
          </w:p>
        </w:tc>
        <w:tc>
          <w:tcPr>
            <w:tcW w:w="576" w:type="pct"/>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公开事项</w:t>
            </w:r>
          </w:p>
        </w:tc>
        <w:tc>
          <w:tcPr>
            <w:tcW w:w="835" w:type="pct"/>
            <w:vMerge w:val="restart"/>
            <w:tcBorders>
              <w:top w:val="single" w:color="auto" w:sz="4" w:space="0"/>
              <w:left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公开内容（要素）</w:t>
            </w:r>
          </w:p>
        </w:tc>
        <w:tc>
          <w:tcPr>
            <w:tcW w:w="101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公开依据</w:t>
            </w:r>
          </w:p>
        </w:tc>
        <w:tc>
          <w:tcPr>
            <w:tcW w:w="27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公开时限</w:t>
            </w:r>
          </w:p>
        </w:tc>
        <w:tc>
          <w:tcPr>
            <w:tcW w:w="27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公开主体</w:t>
            </w:r>
          </w:p>
        </w:tc>
        <w:tc>
          <w:tcPr>
            <w:tcW w:w="57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公开渠道和载体</w:t>
            </w:r>
          </w:p>
        </w:tc>
        <w:tc>
          <w:tcPr>
            <w:tcW w:w="432" w:type="pct"/>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公开对象</w:t>
            </w:r>
          </w:p>
        </w:tc>
        <w:tc>
          <w:tcPr>
            <w:tcW w:w="432" w:type="pct"/>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公开方式</w:t>
            </w:r>
          </w:p>
        </w:tc>
        <w:tc>
          <w:tcPr>
            <w:tcW w:w="433" w:type="pct"/>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公开层级</w:t>
            </w:r>
          </w:p>
        </w:tc>
      </w:tr>
      <w:tr>
        <w:tblPrEx>
          <w:tblCellMar>
            <w:top w:w="0" w:type="dxa"/>
            <w:left w:w="108" w:type="dxa"/>
            <w:bottom w:w="0" w:type="dxa"/>
            <w:right w:w="108" w:type="dxa"/>
          </w:tblCellMar>
        </w:tblPrEx>
        <w:trPr>
          <w:trHeight w:val="1246" w:hRule="atLeast"/>
          <w:tblHeader/>
          <w:jc w:val="center"/>
        </w:trPr>
        <w:tc>
          <w:tcPr>
            <w:tcW w:w="1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cs="Times New Roman"/>
                <w:color w:val="000000"/>
                <w:kern w:val="0"/>
                <w:sz w:val="22"/>
                <w:szCs w:val="24"/>
              </w:rPr>
            </w:pPr>
          </w:p>
        </w:tc>
        <w:tc>
          <w:tcPr>
            <w:tcW w:w="285" w:type="pct"/>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一级</w:t>
            </w:r>
          </w:p>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事项</w:t>
            </w:r>
          </w:p>
        </w:tc>
        <w:tc>
          <w:tcPr>
            <w:tcW w:w="290" w:type="pct"/>
            <w:tcBorders>
              <w:top w:val="nil"/>
              <w:left w:val="nil"/>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二级</w:t>
            </w:r>
          </w:p>
          <w:p>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事项</w:t>
            </w:r>
          </w:p>
        </w:tc>
        <w:tc>
          <w:tcPr>
            <w:tcW w:w="835" w:type="pct"/>
            <w:vMerge w:val="continue"/>
            <w:tcBorders>
              <w:left w:val="single" w:color="auto" w:sz="4" w:space="0"/>
              <w:bottom w:val="single" w:color="auto" w:sz="4" w:space="0"/>
              <w:right w:val="single" w:color="auto" w:sz="4" w:space="0"/>
            </w:tcBorders>
            <w:vAlign w:val="center"/>
          </w:tcPr>
          <w:p>
            <w:pPr>
              <w:widowControl/>
              <w:spacing w:line="440" w:lineRule="exact"/>
              <w:rPr>
                <w:rFonts w:ascii="Times New Roman" w:hAnsi="Times New Roman" w:eastAsia="黑体" w:cs="Times New Roman"/>
                <w:color w:val="000000"/>
                <w:kern w:val="0"/>
                <w:sz w:val="22"/>
                <w:szCs w:val="24"/>
              </w:rPr>
            </w:pPr>
          </w:p>
        </w:tc>
        <w:tc>
          <w:tcPr>
            <w:tcW w:w="101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Times New Roman" w:hAnsi="Times New Roman" w:eastAsia="黑体" w:cs="Times New Roman"/>
                <w:color w:val="000000"/>
                <w:kern w:val="0"/>
                <w:sz w:val="22"/>
                <w:szCs w:val="24"/>
              </w:rPr>
            </w:pPr>
          </w:p>
        </w:tc>
        <w:tc>
          <w:tcPr>
            <w:tcW w:w="27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黑体" w:cs="Times New Roman"/>
                <w:color w:val="000000"/>
                <w:kern w:val="0"/>
                <w:sz w:val="22"/>
                <w:szCs w:val="24"/>
              </w:rPr>
            </w:pPr>
          </w:p>
        </w:tc>
        <w:tc>
          <w:tcPr>
            <w:tcW w:w="27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黑体" w:cs="Times New Roman"/>
                <w:color w:val="000000"/>
                <w:kern w:val="0"/>
                <w:sz w:val="22"/>
                <w:szCs w:val="24"/>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黑体" w:cs="Times New Roman"/>
                <w:color w:val="000000"/>
                <w:kern w:val="0"/>
                <w:sz w:val="22"/>
                <w:szCs w:val="24"/>
              </w:rPr>
            </w:pPr>
          </w:p>
        </w:tc>
        <w:tc>
          <w:tcPr>
            <w:tcW w:w="21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全社会</w:t>
            </w:r>
          </w:p>
        </w:tc>
        <w:tc>
          <w:tcPr>
            <w:tcW w:w="217"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特定群众</w:t>
            </w:r>
          </w:p>
        </w:tc>
        <w:tc>
          <w:tcPr>
            <w:tcW w:w="21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主动</w:t>
            </w:r>
          </w:p>
        </w:tc>
        <w:tc>
          <w:tcPr>
            <w:tcW w:w="217"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依申请公开</w:t>
            </w:r>
          </w:p>
        </w:tc>
        <w:tc>
          <w:tcPr>
            <w:tcW w:w="216"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县级</w:t>
            </w:r>
          </w:p>
        </w:tc>
        <w:tc>
          <w:tcPr>
            <w:tcW w:w="217"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cs="Times New Roman"/>
                <w:color w:val="000000"/>
                <w:kern w:val="0"/>
                <w:sz w:val="22"/>
                <w:szCs w:val="24"/>
              </w:rPr>
            </w:pPr>
            <w:r>
              <w:rPr>
                <w:rFonts w:hint="eastAsia" w:ascii="Times New Roman" w:hAnsi="Times New Roman" w:eastAsia="黑体" w:cs="Times New Roman"/>
                <w:color w:val="000000"/>
                <w:kern w:val="0"/>
                <w:sz w:val="22"/>
                <w:szCs w:val="24"/>
              </w:rPr>
              <w:t>乡、镇街、</w:t>
            </w:r>
            <w:r>
              <w:rPr>
                <w:rFonts w:ascii="Times New Roman" w:hAnsi="Times New Roman" w:eastAsia="黑体" w:cs="Times New Roman"/>
                <w:color w:val="000000"/>
                <w:kern w:val="0"/>
                <w:sz w:val="22"/>
                <w:szCs w:val="24"/>
              </w:rPr>
              <w:t>村级</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1</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行政</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审批</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特殊药品的购用、使用、经营、生产和邮寄、运输审批服务指南</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基本信息（包括事项名称、办</w:t>
            </w:r>
            <w:r>
              <w:rPr>
                <w:rFonts w:hint="eastAsia" w:ascii="Times New Roman" w:hAnsi="Times New Roman" w:eastAsia="仿宋_GB2312" w:cs="Times New Roman"/>
                <w:color w:val="000000"/>
                <w:sz w:val="21"/>
                <w:szCs w:val="21"/>
              </w:rPr>
              <w:t>结</w:t>
            </w:r>
            <w:r>
              <w:rPr>
                <w:rFonts w:ascii="Times New Roman" w:hAnsi="Times New Roman" w:eastAsia="仿宋_GB2312" w:cs="Times New Roman"/>
                <w:color w:val="000000"/>
                <w:sz w:val="21"/>
                <w:szCs w:val="21"/>
              </w:rPr>
              <w:t>时限、办理</w:t>
            </w:r>
            <w:r>
              <w:rPr>
                <w:rFonts w:hint="eastAsia" w:ascii="Times New Roman" w:hAnsi="Times New Roman" w:eastAsia="仿宋_GB2312" w:cs="Times New Roman"/>
                <w:color w:val="000000"/>
                <w:sz w:val="21"/>
                <w:szCs w:val="21"/>
              </w:rPr>
              <w:t>形</w:t>
            </w:r>
            <w:r>
              <w:rPr>
                <w:rFonts w:ascii="Times New Roman" w:hAnsi="Times New Roman" w:eastAsia="仿宋_GB2312" w:cs="Times New Roman"/>
                <w:color w:val="000000"/>
                <w:sz w:val="21"/>
                <w:szCs w:val="21"/>
              </w:rPr>
              <w:t>式、审批结果等）、受理标准、办理流程、申请材料、咨询监督、窗口办理、收费项目信息、法律依据、权利与义务、法律救济</w:t>
            </w:r>
            <w:r>
              <w:rPr>
                <w:rFonts w:hint="eastAsia" w:ascii="Times New Roman" w:hAnsi="Times New Roman" w:eastAsia="仿宋_GB2312" w:cs="Times New Roman"/>
                <w:color w:val="000000"/>
                <w:sz w:val="21"/>
                <w:szCs w:val="21"/>
              </w:rPr>
              <w:t>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药品管理法》、《政府信息公开条例》、《关于全面推进政务公开工作的意见》、《食品药品安全监管信息公开管理办法》、《广东省人民政府关于全面推行行政执法公示制度执法全过程记录制度重大执法决定法制审核制度的实施方案》</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信息形成或变更之日起20个工作日内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widowControl/>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shd w:val="clear" w:color="auto" w:fill="FFFFFF"/>
              </w:rPr>
              <w:t>■广东政务服务网</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2</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监督</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检查</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食品生产经营（含特殊食品经营）监督检查</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检查制度、检查标准、检查结果等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《食品安全法》《政府信息公开条例》《关于全面推进政务公开工作的意见》《食品生产经营日常监督检查管理办法》《食品药品安全监管信息公开管理办法》</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信息形成或变更之日起20个工作日内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■国家企业信用信息公示系统</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3</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行政</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处罚</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食品生产经营行政处罚</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处罚对象、案件名称、违法主要事实、处罚种类和内容、处罚依据、作出处罚决定部门、处罚时间、处罚决定书文号、处罚履行方式和期限等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《政府信息公开条例》《关于全面推进政务公开工作的意见》《食品药品行政处罚案件信息公开实施细则》《市场监督管理行政处罚程序暂行规定》</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行政处罚决定形成之日起7个工作日内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■国家企业信用信息公示系统</w:t>
            </w:r>
          </w:p>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shd w:val="clear" w:color="auto" w:fill="FFFFFF"/>
              </w:rPr>
              <w:t>■广东省行政执法信息公开平台</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4</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食品安全消费提示警示</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食品安全消费提示、警示信息</w:t>
            </w:r>
            <w:r>
              <w:rPr>
                <w:rFonts w:hint="eastAsia" w:ascii="Times New Roman" w:hAnsi="Times New Roman" w:eastAsia="仿宋_GB2312" w:cs="Times New Roman"/>
                <w:color w:val="000000"/>
                <w:sz w:val="21"/>
                <w:szCs w:val="21"/>
              </w:rPr>
              <w:t>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信息形成之日起7个工作日内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5</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食品安全应急处置</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应急组织机构及职责、应急保障、监测预警、应急响应、热点问题落实情况等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xml:space="preserve">《政府信息公开条例》《关于全面推进政务公开工作的意见》 </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信息形成之日起20个工作日内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shd w:val="clear" w:color="auto" w:fill="FFFFFF"/>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6</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食品药品投诉举报</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食品药品投诉举报管理制度和政策、受理投诉举报的途径等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《政府信息公开条例》、《关于全面推进政务公开工作的意见》《市场监督管理投诉举报处理暂行办法》</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信息形成之日起20个工作日内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shd w:val="clear" w:color="auto" w:fill="FFFFFF"/>
              </w:rPr>
              <w:t>√</w:t>
            </w:r>
          </w:p>
        </w:tc>
      </w:tr>
      <w:tr>
        <w:tblPrEx>
          <w:tblCellMar>
            <w:top w:w="0" w:type="dxa"/>
            <w:left w:w="108" w:type="dxa"/>
            <w:bottom w:w="0" w:type="dxa"/>
            <w:right w:w="108" w:type="dxa"/>
          </w:tblCellMar>
        </w:tblPrEx>
        <w:trPr>
          <w:trHeight w:val="1985" w:hRule="atLeast"/>
          <w:tblHeader/>
          <w:jc w:val="center"/>
        </w:trPr>
        <w:tc>
          <w:tcPr>
            <w:tcW w:w="14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7</w:t>
            </w:r>
          </w:p>
        </w:tc>
        <w:tc>
          <w:tcPr>
            <w:tcW w:w="28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90"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食品用药安全宣传活动</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活动时间、活动地点、活动形式、活动主题和内容等</w:t>
            </w:r>
          </w:p>
        </w:tc>
        <w:tc>
          <w:tcPr>
            <w:tcW w:w="101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信息形成之日起7个工作日内</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p>
        </w:tc>
        <w:tc>
          <w:tcPr>
            <w:tcW w:w="215"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p>
        </w:tc>
        <w:tc>
          <w:tcPr>
            <w:tcW w:w="216" w:type="pct"/>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shd w:val="clear" w:color="auto" w:fill="FFFFFF"/>
              </w:rPr>
              <w:t>√</w:t>
            </w: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rPr>
      </w:pPr>
      <w:bookmarkStart w:id="19" w:name="_Toc24724729"/>
      <w:bookmarkStart w:id="20" w:name="_Toc19229"/>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十五</w:t>
      </w:r>
      <w:r>
        <w:rPr>
          <w:rFonts w:hint="eastAsia" w:ascii="方正小标宋简体" w:hAnsi="方正小标宋简体" w:eastAsia="方正小标宋简体" w:cs="方正小标宋简体"/>
          <w:b w:val="0"/>
          <w:bCs w:val="0"/>
          <w:sz w:val="36"/>
          <w:szCs w:val="36"/>
        </w:rPr>
        <w:t>）扶贫领域基层政务公开标准目录</w:t>
      </w:r>
      <w:bookmarkEnd w:id="19"/>
      <w:bookmarkEnd w:id="20"/>
    </w:p>
    <w:tbl>
      <w:tblPr>
        <w:tblStyle w:val="9"/>
        <w:tblW w:w="1488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62"/>
        <w:gridCol w:w="662"/>
        <w:gridCol w:w="2150"/>
        <w:gridCol w:w="1156"/>
        <w:gridCol w:w="1323"/>
        <w:gridCol w:w="1652"/>
        <w:gridCol w:w="2313"/>
        <w:gridCol w:w="662"/>
        <w:gridCol w:w="652"/>
        <w:gridCol w:w="506"/>
        <w:gridCol w:w="662"/>
        <w:gridCol w:w="662"/>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blHeader/>
        </w:trPr>
        <w:tc>
          <w:tcPr>
            <w:tcW w:w="496" w:type="dxa"/>
            <w:vMerge w:val="restart"/>
            <w:vAlign w:val="center"/>
          </w:tcPr>
          <w:p>
            <w:pPr>
              <w:widowControl/>
              <w:jc w:val="center"/>
              <w:rPr>
                <w:rFonts w:ascii="Times New Roman" w:hAnsi="Times New Roman"/>
                <w:color w:val="000000"/>
                <w:kern w:val="0"/>
                <w:sz w:val="22"/>
                <w:szCs w:val="24"/>
              </w:rPr>
            </w:pPr>
            <w:r>
              <w:rPr>
                <w:rFonts w:ascii="Times New Roman" w:hAnsi="宋体"/>
                <w:color w:val="000000"/>
                <w:kern w:val="0"/>
                <w:sz w:val="22"/>
                <w:szCs w:val="24"/>
              </w:rPr>
              <w:t>序号</w:t>
            </w:r>
          </w:p>
        </w:tc>
        <w:tc>
          <w:tcPr>
            <w:tcW w:w="1324" w:type="dxa"/>
            <w:gridSpan w:val="2"/>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公开事项</w:t>
            </w:r>
          </w:p>
        </w:tc>
        <w:tc>
          <w:tcPr>
            <w:tcW w:w="2150" w:type="dxa"/>
            <w:vMerge w:val="restart"/>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公开内容（要素）</w:t>
            </w:r>
          </w:p>
        </w:tc>
        <w:tc>
          <w:tcPr>
            <w:tcW w:w="1156" w:type="dxa"/>
            <w:vMerge w:val="restart"/>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公开依据</w:t>
            </w:r>
          </w:p>
        </w:tc>
        <w:tc>
          <w:tcPr>
            <w:tcW w:w="1323" w:type="dxa"/>
            <w:vMerge w:val="restart"/>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公开时限</w:t>
            </w:r>
          </w:p>
        </w:tc>
        <w:tc>
          <w:tcPr>
            <w:tcW w:w="1652" w:type="dxa"/>
            <w:vMerge w:val="restart"/>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公开主体</w:t>
            </w:r>
          </w:p>
        </w:tc>
        <w:tc>
          <w:tcPr>
            <w:tcW w:w="2313" w:type="dxa"/>
            <w:vMerge w:val="restart"/>
            <w:vAlign w:val="center"/>
          </w:tcPr>
          <w:p>
            <w:pPr>
              <w:widowControl/>
              <w:jc w:val="center"/>
              <w:rPr>
                <w:rFonts w:ascii="黑体" w:hAnsi="宋体" w:eastAsia="黑体" w:cs="宋体"/>
                <w:kern w:val="0"/>
                <w:sz w:val="22"/>
                <w:szCs w:val="24"/>
              </w:rPr>
            </w:pPr>
            <w:r>
              <w:rPr>
                <w:rFonts w:hint="eastAsia" w:ascii="黑体" w:hAnsi="宋体" w:eastAsia="黑体" w:cs="宋体"/>
                <w:kern w:val="0"/>
                <w:sz w:val="22"/>
                <w:szCs w:val="24"/>
              </w:rPr>
              <w:t>公开渠道和载体</w:t>
            </w:r>
          </w:p>
        </w:tc>
        <w:tc>
          <w:tcPr>
            <w:tcW w:w="1314" w:type="dxa"/>
            <w:gridSpan w:val="2"/>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公开对象</w:t>
            </w:r>
          </w:p>
        </w:tc>
        <w:tc>
          <w:tcPr>
            <w:tcW w:w="1168" w:type="dxa"/>
            <w:gridSpan w:val="2"/>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公开方式</w:t>
            </w:r>
          </w:p>
        </w:tc>
        <w:tc>
          <w:tcPr>
            <w:tcW w:w="1986" w:type="dxa"/>
            <w:gridSpan w:val="3"/>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blHeader/>
        </w:trPr>
        <w:tc>
          <w:tcPr>
            <w:tcW w:w="496" w:type="dxa"/>
            <w:vMerge w:val="continue"/>
            <w:vAlign w:val="center"/>
          </w:tcPr>
          <w:p>
            <w:pPr>
              <w:widowControl/>
              <w:jc w:val="left"/>
              <w:rPr>
                <w:rFonts w:ascii="Times New Roman" w:hAnsi="Times New Roman"/>
                <w:color w:val="000000"/>
                <w:kern w:val="0"/>
                <w:sz w:val="22"/>
                <w:szCs w:val="24"/>
              </w:rPr>
            </w:pP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一级事项</w:t>
            </w: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二级事项</w:t>
            </w:r>
          </w:p>
        </w:tc>
        <w:tc>
          <w:tcPr>
            <w:tcW w:w="2150" w:type="dxa"/>
            <w:vMerge w:val="continue"/>
            <w:vAlign w:val="center"/>
          </w:tcPr>
          <w:p>
            <w:pPr>
              <w:widowControl/>
              <w:jc w:val="left"/>
              <w:rPr>
                <w:rFonts w:ascii="黑体" w:hAnsi="宋体" w:eastAsia="黑体" w:cs="宋体"/>
                <w:color w:val="000000"/>
                <w:kern w:val="0"/>
                <w:sz w:val="22"/>
                <w:szCs w:val="24"/>
              </w:rPr>
            </w:pPr>
          </w:p>
        </w:tc>
        <w:tc>
          <w:tcPr>
            <w:tcW w:w="1156" w:type="dxa"/>
            <w:vMerge w:val="continue"/>
            <w:vAlign w:val="center"/>
          </w:tcPr>
          <w:p>
            <w:pPr>
              <w:widowControl/>
              <w:jc w:val="left"/>
              <w:rPr>
                <w:rFonts w:ascii="黑体" w:hAnsi="宋体" w:eastAsia="黑体" w:cs="宋体"/>
                <w:color w:val="000000"/>
                <w:kern w:val="0"/>
                <w:sz w:val="22"/>
                <w:szCs w:val="24"/>
              </w:rPr>
            </w:pPr>
          </w:p>
        </w:tc>
        <w:tc>
          <w:tcPr>
            <w:tcW w:w="1323" w:type="dxa"/>
            <w:vMerge w:val="continue"/>
            <w:vAlign w:val="center"/>
          </w:tcPr>
          <w:p>
            <w:pPr>
              <w:widowControl/>
              <w:jc w:val="left"/>
              <w:rPr>
                <w:rFonts w:ascii="黑体" w:hAnsi="宋体" w:eastAsia="黑体" w:cs="宋体"/>
                <w:color w:val="000000"/>
                <w:kern w:val="0"/>
                <w:sz w:val="22"/>
                <w:szCs w:val="24"/>
              </w:rPr>
            </w:pPr>
          </w:p>
        </w:tc>
        <w:tc>
          <w:tcPr>
            <w:tcW w:w="1652" w:type="dxa"/>
            <w:vMerge w:val="continue"/>
            <w:vAlign w:val="center"/>
          </w:tcPr>
          <w:p>
            <w:pPr>
              <w:widowControl/>
              <w:jc w:val="left"/>
              <w:rPr>
                <w:rFonts w:ascii="黑体" w:hAnsi="宋体" w:eastAsia="黑体" w:cs="宋体"/>
                <w:color w:val="000000"/>
                <w:kern w:val="0"/>
                <w:sz w:val="22"/>
                <w:szCs w:val="24"/>
              </w:rPr>
            </w:pPr>
          </w:p>
        </w:tc>
        <w:tc>
          <w:tcPr>
            <w:tcW w:w="2313" w:type="dxa"/>
            <w:vMerge w:val="continue"/>
            <w:vAlign w:val="center"/>
          </w:tcPr>
          <w:p>
            <w:pPr>
              <w:widowControl/>
              <w:jc w:val="left"/>
              <w:rPr>
                <w:rFonts w:ascii="黑体" w:hAnsi="宋体" w:eastAsia="黑体" w:cs="宋体"/>
                <w:kern w:val="0"/>
                <w:sz w:val="22"/>
                <w:szCs w:val="24"/>
              </w:rPr>
            </w:pP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全社会</w:t>
            </w:r>
          </w:p>
        </w:tc>
        <w:tc>
          <w:tcPr>
            <w:tcW w:w="65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特定群众</w:t>
            </w:r>
          </w:p>
        </w:tc>
        <w:tc>
          <w:tcPr>
            <w:tcW w:w="506"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主动</w:t>
            </w: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依申请公开</w:t>
            </w: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县级</w:t>
            </w: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乡级</w:t>
            </w:r>
          </w:p>
        </w:tc>
        <w:tc>
          <w:tcPr>
            <w:tcW w:w="662" w:type="dxa"/>
            <w:vAlign w:val="center"/>
          </w:tcPr>
          <w:p>
            <w:pPr>
              <w:widowControl/>
              <w:jc w:val="center"/>
              <w:rPr>
                <w:rFonts w:ascii="黑体" w:hAnsi="宋体" w:eastAsia="黑体" w:cs="宋体"/>
                <w:color w:val="000000"/>
                <w:kern w:val="0"/>
                <w:sz w:val="22"/>
                <w:szCs w:val="24"/>
              </w:rPr>
            </w:pPr>
            <w:r>
              <w:rPr>
                <w:rFonts w:hint="eastAsia" w:ascii="黑体" w:hAnsi="宋体" w:eastAsia="黑体" w:cs="宋体"/>
                <w:color w:val="000000"/>
                <w:kern w:val="0"/>
                <w:sz w:val="22"/>
                <w:szCs w:val="24"/>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662"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662" w:type="dxa"/>
            <w:vMerge w:val="continue"/>
            <w:vAlign w:val="center"/>
          </w:tcPr>
          <w:p>
            <w:pPr>
              <w:widowControl/>
              <w:jc w:val="left"/>
              <w:rPr>
                <w:rFonts w:ascii="仿宋_GB2312" w:eastAsia="仿宋_GB2312"/>
                <w:color w:val="000000"/>
                <w:sz w:val="18"/>
                <w:szCs w:val="18"/>
              </w:rPr>
            </w:pP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49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662" w:type="dxa"/>
            <w:vMerge w:val="continue"/>
            <w:vAlign w:val="center"/>
          </w:tcPr>
          <w:p>
            <w:pPr>
              <w:widowControl/>
              <w:jc w:val="left"/>
              <w:rPr>
                <w:rFonts w:ascii="仿宋_GB2312" w:eastAsia="仿宋_GB2312"/>
                <w:color w:val="000000"/>
                <w:sz w:val="18"/>
                <w:szCs w:val="18"/>
              </w:rPr>
            </w:pP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15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156"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32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313"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4</w:t>
            </w:r>
          </w:p>
        </w:tc>
        <w:tc>
          <w:tcPr>
            <w:tcW w:w="662"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5</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6</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7</w:t>
            </w:r>
          </w:p>
        </w:tc>
        <w:tc>
          <w:tcPr>
            <w:tcW w:w="662"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8</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9</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各行业扶贫财政资金主管部门和东西部扶贫协作资金主管部门</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10</w:t>
            </w:r>
          </w:p>
        </w:tc>
        <w:tc>
          <w:tcPr>
            <w:tcW w:w="662" w:type="dxa"/>
            <w:vMerge w:val="restart"/>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11</w:t>
            </w:r>
          </w:p>
        </w:tc>
        <w:tc>
          <w:tcPr>
            <w:tcW w:w="662" w:type="dxa"/>
            <w:vMerge w:val="continue"/>
            <w:vAlign w:val="center"/>
          </w:tcPr>
          <w:p>
            <w:pPr>
              <w:widowControl/>
              <w:spacing w:line="240" w:lineRule="exact"/>
              <w:jc w:val="left"/>
              <w:rPr>
                <w:rFonts w:ascii="仿宋_GB2312" w:eastAsia="仿宋_GB2312"/>
                <w:color w:val="000000"/>
                <w:sz w:val="18"/>
                <w:szCs w:val="18"/>
              </w:rPr>
            </w:pP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12</w:t>
            </w:r>
          </w:p>
        </w:tc>
        <w:tc>
          <w:tcPr>
            <w:tcW w:w="66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49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13</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150"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156"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32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652"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313"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5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06"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r>
              <w:rPr>
                <w:rFonts w:ascii="仿宋_GB2312" w:eastAsia="仿宋_GB2312"/>
                <w:color w:val="000000"/>
                <w:sz w:val="18"/>
                <w:szCs w:val="18"/>
              </w:rPr>
              <w:t>√</w:t>
            </w:r>
          </w:p>
        </w:tc>
        <w:tc>
          <w:tcPr>
            <w:tcW w:w="662" w:type="dxa"/>
            <w:vAlign w:val="center"/>
          </w:tcPr>
          <w:p>
            <w:pPr>
              <w:widowControl/>
              <w:spacing w:line="240" w:lineRule="exact"/>
              <w:jc w:val="center"/>
              <w:rPr>
                <w:rFonts w:ascii="仿宋_GB2312" w:eastAsia="仿宋_GB2312"/>
                <w:color w:val="000000"/>
                <w:sz w:val="18"/>
                <w:szCs w:val="18"/>
              </w:rPr>
            </w:pPr>
          </w:p>
        </w:tc>
      </w:tr>
    </w:tbl>
    <w:p>
      <w:pPr>
        <w:spacing w:line="240" w:lineRule="exact"/>
        <w:jc w:val="center"/>
        <w:rPr>
          <w:rFonts w:ascii="Times New Roman" w:hAnsi="Times New Roman" w:eastAsia="方正小标宋_GBK"/>
          <w:sz w:val="28"/>
          <w:szCs w:val="28"/>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21" w:name="_Toc29114"/>
      <w:r>
        <w:rPr>
          <w:rFonts w:hint="eastAsia" w:ascii="方正小标宋简体" w:hAnsi="方正小标宋简体" w:eastAsia="方正小标宋简体" w:cs="方正小标宋简体"/>
          <w:b w:val="0"/>
          <w:bCs w:val="0"/>
          <w:sz w:val="36"/>
          <w:szCs w:val="36"/>
          <w:lang w:val="en-US" w:eastAsia="zh-CN"/>
        </w:rPr>
        <w:t>（十六）城市综合执法领域基层政务公开标准目录</w:t>
      </w:r>
      <w:bookmarkEnd w:id="21"/>
    </w:p>
    <w:tbl>
      <w:tblPr>
        <w:tblStyle w:val="9"/>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8"/>
        <w:gridCol w:w="1372"/>
        <w:gridCol w:w="1882"/>
        <w:gridCol w:w="950"/>
        <w:gridCol w:w="1261"/>
        <w:gridCol w:w="1137"/>
        <w:gridCol w:w="3004"/>
        <w:gridCol w:w="618"/>
        <w:gridCol w:w="619"/>
        <w:gridCol w:w="618"/>
        <w:gridCol w:w="619"/>
        <w:gridCol w:w="618"/>
        <w:gridCol w:w="618"/>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41" w:type="dxa"/>
            <w:vMerge w:val="restart"/>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pPr>
              <w:widowControl/>
              <w:jc w:val="center"/>
              <w:rPr>
                <w:rFonts w:ascii="宋体" w:hAnsi="宋体" w:eastAsia="宋体" w:cs="宋体"/>
                <w:b/>
                <w:bCs/>
                <w:color w:val="000000"/>
                <w:kern w:val="0"/>
                <w:sz w:val="18"/>
                <w:szCs w:val="18"/>
              </w:rPr>
            </w:pPr>
          </w:p>
        </w:tc>
        <w:tc>
          <w:tcPr>
            <w:tcW w:w="2010"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882"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5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261"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137"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3004" w:type="dxa"/>
            <w:vMerge w:val="restart"/>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473" w:type="dxa"/>
            <w:gridSpan w:val="4"/>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1"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63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37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882" w:type="dxa"/>
            <w:vMerge w:val="continue"/>
            <w:vAlign w:val="center"/>
          </w:tcPr>
          <w:p>
            <w:pPr>
              <w:widowControl/>
              <w:jc w:val="left"/>
              <w:rPr>
                <w:rFonts w:ascii="宋体" w:hAnsi="宋体" w:eastAsia="宋体" w:cs="宋体"/>
                <w:b/>
                <w:bCs/>
                <w:color w:val="000000"/>
                <w:kern w:val="0"/>
                <w:sz w:val="18"/>
                <w:szCs w:val="18"/>
              </w:rPr>
            </w:pPr>
          </w:p>
        </w:tc>
        <w:tc>
          <w:tcPr>
            <w:tcW w:w="950" w:type="dxa"/>
            <w:vMerge w:val="continue"/>
            <w:vAlign w:val="center"/>
          </w:tcPr>
          <w:p>
            <w:pPr>
              <w:widowControl/>
              <w:jc w:val="left"/>
              <w:rPr>
                <w:rFonts w:ascii="宋体" w:hAnsi="宋体" w:eastAsia="宋体" w:cs="宋体"/>
                <w:b/>
                <w:bCs/>
                <w:color w:val="000000"/>
                <w:kern w:val="0"/>
                <w:sz w:val="18"/>
                <w:szCs w:val="18"/>
              </w:rPr>
            </w:pPr>
          </w:p>
        </w:tc>
        <w:tc>
          <w:tcPr>
            <w:tcW w:w="1261" w:type="dxa"/>
            <w:vMerge w:val="continue"/>
            <w:vAlign w:val="center"/>
          </w:tcPr>
          <w:p>
            <w:pPr>
              <w:widowControl/>
              <w:jc w:val="left"/>
              <w:rPr>
                <w:rFonts w:ascii="宋体" w:hAnsi="宋体" w:eastAsia="宋体" w:cs="宋体"/>
                <w:b/>
                <w:bCs/>
                <w:color w:val="000000"/>
                <w:kern w:val="0"/>
                <w:sz w:val="18"/>
                <w:szCs w:val="18"/>
              </w:rPr>
            </w:pPr>
          </w:p>
        </w:tc>
        <w:tc>
          <w:tcPr>
            <w:tcW w:w="1137" w:type="dxa"/>
            <w:vMerge w:val="continue"/>
            <w:vAlign w:val="center"/>
          </w:tcPr>
          <w:p>
            <w:pPr>
              <w:widowControl/>
              <w:jc w:val="left"/>
              <w:rPr>
                <w:rFonts w:ascii="宋体" w:hAnsi="宋体" w:eastAsia="宋体" w:cs="宋体"/>
                <w:b/>
                <w:bCs/>
                <w:color w:val="000000"/>
                <w:kern w:val="0"/>
                <w:sz w:val="18"/>
                <w:szCs w:val="18"/>
              </w:rPr>
            </w:pPr>
          </w:p>
        </w:tc>
        <w:tc>
          <w:tcPr>
            <w:tcW w:w="3004" w:type="dxa"/>
            <w:vMerge w:val="continue"/>
            <w:vAlign w:val="center"/>
          </w:tcPr>
          <w:p>
            <w:pPr>
              <w:widowControl/>
              <w:jc w:val="left"/>
              <w:rPr>
                <w:rFonts w:ascii="宋体" w:hAnsi="宋体" w:eastAsia="宋体" w:cs="宋体"/>
                <w:b/>
                <w:bCs/>
                <w:color w:val="000000"/>
                <w:kern w:val="0"/>
                <w:sz w:val="18"/>
                <w:szCs w:val="18"/>
              </w:rPr>
            </w:pP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市级</w:t>
            </w:r>
          </w:p>
        </w:tc>
        <w:tc>
          <w:tcPr>
            <w:tcW w:w="6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18" w:type="dxa"/>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19" w:type="dxa"/>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不符合预售条件预售商品房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房地产开发企业在销售商品房中未按照规定在商品房现售前将房地产开发项目手册及符合商品房现售条件的有关证明文件报送房地产开发主管部门备案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企业申请建筑业企业资质升级、资质增项，在申请之日起前一年至资质许可决定作出前，将承包的工程转包或违法分包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46</w:t>
            </w: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w:t>
            </w:r>
            <w:r>
              <w:rPr>
                <w:rFonts w:ascii="宋体" w:hAnsi="宋体" w:eastAsia="宋体" w:cs="宋体"/>
                <w:kern w:val="0"/>
                <w:sz w:val="18"/>
                <w:szCs w:val="18"/>
              </w:rPr>
              <w:t xml:space="preserve">                                                                                                                     </w:t>
            </w: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55</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55</w:t>
            </w:r>
            <w:r>
              <w:rPr>
                <w:rFonts w:hint="eastAsia" w:ascii="宋体" w:hAnsi="宋体" w:eastAsia="宋体" w:cs="宋体"/>
                <w:kern w:val="0"/>
                <w:sz w:val="18"/>
                <w:szCs w:val="18"/>
                <w:lang w:val="en-US" w:eastAsia="zh-CN"/>
              </w:rPr>
              <w:t>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建设单位经批准使用的土地含有城市公厕规划用地的，建设单位未按照城市公厕规划和城市人民政府环境卫生行政主管部门的要求修建公厕，并向社会开放使用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影剧院、商店、饭店、车站等公共建筑没有附设公厕或者原有公厕及其卫生设施不足的，未按照城市人民政府环境卫生行政主管部门的要求进行新建、扩建或者改造</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随地吐痰、便溺，乱扔果皮、果核、纸屑、烟蒂、玻璃瓶、饮料罐、口香糖、包装袋或者乱倒垃圾、渣土、污水、污油、粪便等废弃物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城市自来水供水企业或者自建设施对外供水的企业未按照规定检修供水设施或者在供水设施发生故障后未及时抢修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69</w:t>
            </w: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69</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794</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795</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796</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797</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798</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799</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801</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802</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803</w:t>
            </w:r>
          </w:p>
        </w:tc>
        <w:tc>
          <w:tcPr>
            <w:tcW w:w="638"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188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pPr>
              <w:widowControl/>
              <w:jc w:val="center"/>
              <w:rPr>
                <w:rFonts w:ascii="Arial" w:hAnsi="Arial" w:eastAsia="宋体" w:cs="Arial"/>
                <w:kern w:val="0"/>
                <w:sz w:val="18"/>
                <w:szCs w:val="18"/>
              </w:rPr>
            </w:pPr>
          </w:p>
        </w:tc>
      </w:tr>
    </w:tbl>
    <w:p>
      <w:pPr>
        <w:rPr>
          <w:rFonts w:ascii="Calibri" w:hAnsi="Calibri" w:eastAsia="宋体" w:cs="Times New Roman"/>
        </w:rPr>
      </w:pPr>
    </w:p>
    <w:p>
      <w:pPr>
        <w:rPr>
          <w:rFonts w:hint="eastAsia" w:eastAsiaTheme="minorEastAsia"/>
          <w:lang w:val="en-US" w:eastAsia="zh-CN"/>
        </w:rPr>
      </w:pPr>
      <w:bookmarkStart w:id="22" w:name="_GoBack"/>
      <w:bookmarkEnd w:id="22"/>
    </w:p>
    <w:sectPr>
      <w:pgSz w:w="16838" w:h="11906" w:orient="landscape"/>
      <w:pgMar w:top="850" w:right="1440" w:bottom="85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127561"/>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29 -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国华">
    <w15:presenceInfo w15:providerId="None" w15:userId="徐国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GY2ZGEyNGQ2MDY2NWVjNjkxZTZlZWExZjhlNWIifQ=="/>
    <w:docVar w:name="KSO_WPS_MARK_KEY" w:val="ceea8195-c5c7-428a-bb9e-1886ab17480b"/>
  </w:docVars>
  <w:rsids>
    <w:rsidRoot w:val="00A30254"/>
    <w:rsid w:val="00005623"/>
    <w:rsid w:val="00012B25"/>
    <w:rsid w:val="00014E12"/>
    <w:rsid w:val="000276B1"/>
    <w:rsid w:val="000308FB"/>
    <w:rsid w:val="0003113B"/>
    <w:rsid w:val="000377D6"/>
    <w:rsid w:val="00041E63"/>
    <w:rsid w:val="00045976"/>
    <w:rsid w:val="00045D3F"/>
    <w:rsid w:val="00051144"/>
    <w:rsid w:val="00067FCB"/>
    <w:rsid w:val="00070DD9"/>
    <w:rsid w:val="00083822"/>
    <w:rsid w:val="00090419"/>
    <w:rsid w:val="000A3049"/>
    <w:rsid w:val="000B4BAF"/>
    <w:rsid w:val="000B5F24"/>
    <w:rsid w:val="000C4037"/>
    <w:rsid w:val="000E25AD"/>
    <w:rsid w:val="000F189D"/>
    <w:rsid w:val="0012124A"/>
    <w:rsid w:val="001351A9"/>
    <w:rsid w:val="00184851"/>
    <w:rsid w:val="001974FE"/>
    <w:rsid w:val="001A2C60"/>
    <w:rsid w:val="001A5FB4"/>
    <w:rsid w:val="001A635F"/>
    <w:rsid w:val="001B1DCC"/>
    <w:rsid w:val="001C0184"/>
    <w:rsid w:val="001D18F3"/>
    <w:rsid w:val="001D6981"/>
    <w:rsid w:val="00201F34"/>
    <w:rsid w:val="0020602D"/>
    <w:rsid w:val="0020615E"/>
    <w:rsid w:val="00215A46"/>
    <w:rsid w:val="002226D9"/>
    <w:rsid w:val="002230B9"/>
    <w:rsid w:val="002251BB"/>
    <w:rsid w:val="0023080A"/>
    <w:rsid w:val="00266CF2"/>
    <w:rsid w:val="002725DE"/>
    <w:rsid w:val="002B13BD"/>
    <w:rsid w:val="00314E22"/>
    <w:rsid w:val="003168D9"/>
    <w:rsid w:val="00336CB3"/>
    <w:rsid w:val="00341D58"/>
    <w:rsid w:val="003B2343"/>
    <w:rsid w:val="003B5DA8"/>
    <w:rsid w:val="003D0427"/>
    <w:rsid w:val="003D3772"/>
    <w:rsid w:val="003F02B2"/>
    <w:rsid w:val="00402868"/>
    <w:rsid w:val="00405F07"/>
    <w:rsid w:val="00410149"/>
    <w:rsid w:val="00423240"/>
    <w:rsid w:val="00435621"/>
    <w:rsid w:val="00440D85"/>
    <w:rsid w:val="004512C4"/>
    <w:rsid w:val="00451FB3"/>
    <w:rsid w:val="00473327"/>
    <w:rsid w:val="00486186"/>
    <w:rsid w:val="00490F23"/>
    <w:rsid w:val="004C4F18"/>
    <w:rsid w:val="004E20D0"/>
    <w:rsid w:val="004F00EA"/>
    <w:rsid w:val="004F5D51"/>
    <w:rsid w:val="0050046C"/>
    <w:rsid w:val="00510042"/>
    <w:rsid w:val="005257BA"/>
    <w:rsid w:val="00534B75"/>
    <w:rsid w:val="00534E67"/>
    <w:rsid w:val="00544760"/>
    <w:rsid w:val="00576E68"/>
    <w:rsid w:val="0058046F"/>
    <w:rsid w:val="00583575"/>
    <w:rsid w:val="00595063"/>
    <w:rsid w:val="005A75A9"/>
    <w:rsid w:val="005A7AD5"/>
    <w:rsid w:val="005C46F7"/>
    <w:rsid w:val="005C4E96"/>
    <w:rsid w:val="005C754F"/>
    <w:rsid w:val="005E2B98"/>
    <w:rsid w:val="005F219B"/>
    <w:rsid w:val="00611B69"/>
    <w:rsid w:val="0061626E"/>
    <w:rsid w:val="0063467C"/>
    <w:rsid w:val="00673316"/>
    <w:rsid w:val="0068265C"/>
    <w:rsid w:val="006964D2"/>
    <w:rsid w:val="006E6B8F"/>
    <w:rsid w:val="006E6BEA"/>
    <w:rsid w:val="007370FD"/>
    <w:rsid w:val="007433D0"/>
    <w:rsid w:val="00744434"/>
    <w:rsid w:val="0075740A"/>
    <w:rsid w:val="00765DFB"/>
    <w:rsid w:val="00787090"/>
    <w:rsid w:val="007A69C7"/>
    <w:rsid w:val="007A773B"/>
    <w:rsid w:val="007B1346"/>
    <w:rsid w:val="007C555C"/>
    <w:rsid w:val="007E5C57"/>
    <w:rsid w:val="007F6086"/>
    <w:rsid w:val="00817CED"/>
    <w:rsid w:val="008201D1"/>
    <w:rsid w:val="0086133D"/>
    <w:rsid w:val="00872C83"/>
    <w:rsid w:val="008870C1"/>
    <w:rsid w:val="008B05EA"/>
    <w:rsid w:val="008C0D9D"/>
    <w:rsid w:val="008E2646"/>
    <w:rsid w:val="008E5D98"/>
    <w:rsid w:val="00905B11"/>
    <w:rsid w:val="009133D8"/>
    <w:rsid w:val="00913F6F"/>
    <w:rsid w:val="00931752"/>
    <w:rsid w:val="00935C85"/>
    <w:rsid w:val="00957953"/>
    <w:rsid w:val="00961E97"/>
    <w:rsid w:val="009725E7"/>
    <w:rsid w:val="0099342F"/>
    <w:rsid w:val="009C342E"/>
    <w:rsid w:val="009D2474"/>
    <w:rsid w:val="009E5AEA"/>
    <w:rsid w:val="009F4E5A"/>
    <w:rsid w:val="00A175D0"/>
    <w:rsid w:val="00A30254"/>
    <w:rsid w:val="00A35E50"/>
    <w:rsid w:val="00A47C8C"/>
    <w:rsid w:val="00A55515"/>
    <w:rsid w:val="00A56525"/>
    <w:rsid w:val="00A829C2"/>
    <w:rsid w:val="00A850C2"/>
    <w:rsid w:val="00AA1C50"/>
    <w:rsid w:val="00AA40ED"/>
    <w:rsid w:val="00AA7190"/>
    <w:rsid w:val="00AC3280"/>
    <w:rsid w:val="00AD5581"/>
    <w:rsid w:val="00AF15D4"/>
    <w:rsid w:val="00B1337D"/>
    <w:rsid w:val="00B143A1"/>
    <w:rsid w:val="00B1702D"/>
    <w:rsid w:val="00B23F1E"/>
    <w:rsid w:val="00B2687A"/>
    <w:rsid w:val="00B44514"/>
    <w:rsid w:val="00B550AB"/>
    <w:rsid w:val="00B61BC1"/>
    <w:rsid w:val="00B63169"/>
    <w:rsid w:val="00B74342"/>
    <w:rsid w:val="00BA16DC"/>
    <w:rsid w:val="00BA5AB1"/>
    <w:rsid w:val="00BE1CD9"/>
    <w:rsid w:val="00BE6774"/>
    <w:rsid w:val="00C04AAF"/>
    <w:rsid w:val="00C04CF9"/>
    <w:rsid w:val="00C5752C"/>
    <w:rsid w:val="00C775AF"/>
    <w:rsid w:val="00C84C01"/>
    <w:rsid w:val="00C87FC9"/>
    <w:rsid w:val="00C9273A"/>
    <w:rsid w:val="00CA16B9"/>
    <w:rsid w:val="00CA1802"/>
    <w:rsid w:val="00CA4141"/>
    <w:rsid w:val="00CB32ED"/>
    <w:rsid w:val="00CB35CA"/>
    <w:rsid w:val="00CB3C2C"/>
    <w:rsid w:val="00CC3569"/>
    <w:rsid w:val="00CE0ADC"/>
    <w:rsid w:val="00CF3DAA"/>
    <w:rsid w:val="00D26B95"/>
    <w:rsid w:val="00D4560D"/>
    <w:rsid w:val="00D53D3E"/>
    <w:rsid w:val="00D55AF6"/>
    <w:rsid w:val="00D8377E"/>
    <w:rsid w:val="00D85C60"/>
    <w:rsid w:val="00DA048A"/>
    <w:rsid w:val="00DC1272"/>
    <w:rsid w:val="00DC545D"/>
    <w:rsid w:val="00DD37B3"/>
    <w:rsid w:val="00DF36DE"/>
    <w:rsid w:val="00E05320"/>
    <w:rsid w:val="00E1775C"/>
    <w:rsid w:val="00E60B01"/>
    <w:rsid w:val="00E62B38"/>
    <w:rsid w:val="00E960ED"/>
    <w:rsid w:val="00EC0BFA"/>
    <w:rsid w:val="00ED5FEE"/>
    <w:rsid w:val="00EE5A53"/>
    <w:rsid w:val="00EF0769"/>
    <w:rsid w:val="00F00548"/>
    <w:rsid w:val="00F02896"/>
    <w:rsid w:val="00F02E25"/>
    <w:rsid w:val="00F043CC"/>
    <w:rsid w:val="00F0486E"/>
    <w:rsid w:val="00F171D8"/>
    <w:rsid w:val="00F26216"/>
    <w:rsid w:val="00F3411F"/>
    <w:rsid w:val="00F36BCE"/>
    <w:rsid w:val="00F629FB"/>
    <w:rsid w:val="00F860F1"/>
    <w:rsid w:val="00F90791"/>
    <w:rsid w:val="00F943A6"/>
    <w:rsid w:val="00FB5B8C"/>
    <w:rsid w:val="00FB74D0"/>
    <w:rsid w:val="00FC3791"/>
    <w:rsid w:val="00FC3D59"/>
    <w:rsid w:val="00FC468F"/>
    <w:rsid w:val="00FD1E88"/>
    <w:rsid w:val="00FD51BB"/>
    <w:rsid w:val="02895072"/>
    <w:rsid w:val="089B4880"/>
    <w:rsid w:val="0C2F779B"/>
    <w:rsid w:val="12E42ECF"/>
    <w:rsid w:val="13DC1FB6"/>
    <w:rsid w:val="15C0628C"/>
    <w:rsid w:val="1A7E0088"/>
    <w:rsid w:val="202820DF"/>
    <w:rsid w:val="28B60BD0"/>
    <w:rsid w:val="29194CBB"/>
    <w:rsid w:val="2AF23A16"/>
    <w:rsid w:val="2F4234D5"/>
    <w:rsid w:val="2F685DB9"/>
    <w:rsid w:val="34FC4318"/>
    <w:rsid w:val="35066A3B"/>
    <w:rsid w:val="367227F7"/>
    <w:rsid w:val="38C74734"/>
    <w:rsid w:val="39CE564E"/>
    <w:rsid w:val="40AA643B"/>
    <w:rsid w:val="4341424F"/>
    <w:rsid w:val="436D7087"/>
    <w:rsid w:val="442835FA"/>
    <w:rsid w:val="49D10E9A"/>
    <w:rsid w:val="5000107C"/>
    <w:rsid w:val="511F2F07"/>
    <w:rsid w:val="51654692"/>
    <w:rsid w:val="57342B3C"/>
    <w:rsid w:val="5BA30291"/>
    <w:rsid w:val="68AA31D1"/>
    <w:rsid w:val="6A470981"/>
    <w:rsid w:val="6DA9226E"/>
    <w:rsid w:val="6E3E20F9"/>
    <w:rsid w:val="709B5583"/>
    <w:rsid w:val="722622F9"/>
    <w:rsid w:val="7A684727"/>
    <w:rsid w:val="7AAD65DE"/>
    <w:rsid w:val="7BB120FE"/>
    <w:rsid w:val="7E54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Balloon Text"/>
    <w:basedOn w:val="1"/>
    <w:link w:val="18"/>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unhideWhenUsed/>
    <w:qFormat/>
    <w:uiPriority w:val="39"/>
    <w:pPr>
      <w:widowControl/>
      <w:spacing w:after="100" w:line="276" w:lineRule="auto"/>
      <w:ind w:left="220"/>
      <w:jc w:val="left"/>
    </w:pPr>
    <w:rPr>
      <w:kern w:val="0"/>
      <w:sz w:val="22"/>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标题 1 Char"/>
    <w:basedOn w:val="11"/>
    <w:link w:val="2"/>
    <w:qFormat/>
    <w:uiPriority w:val="9"/>
    <w:rPr>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批注框文本 Char"/>
    <w:basedOn w:val="11"/>
    <w:link w:val="4"/>
    <w:semiHidden/>
    <w:qFormat/>
    <w:uiPriority w:val="99"/>
    <w:rPr>
      <w:sz w:val="18"/>
      <w:szCs w:val="18"/>
    </w:rPr>
  </w:style>
  <w:style w:type="paragraph" w:styleId="19">
    <w:name w:val="List Paragraph"/>
    <w:qFormat/>
    <w:uiPriority w:val="0"/>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5307-F162-4AB1-91CD-CDF5CF9A5F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432</Pages>
  <Words>303058</Words>
  <Characters>319199</Characters>
  <Lines>1</Lines>
  <Paragraphs>1</Paragraphs>
  <TotalTime>1</TotalTime>
  <ScaleCrop>false</ScaleCrop>
  <LinksUpToDate>false</LinksUpToDate>
  <CharactersWithSpaces>393631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2020-11-12T08:05:00Z</dcterms:created>
  <dc:creator>Ha</dc:creator>
  <cp:lastModifiedBy>ching</cp:lastModifiedBy>
  <cp:lastPrinted>2020-11-23T02:19:00Z</cp:lastPrinted>
  <dcterms:modified xsi:type="dcterms:W3CDTF">2024-08-16T03:59:18Z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21E36C0EB2A1478F8F9E01C8CAD88FB5_12</vt:lpwstr>
  </property>
</Properties>
</file>