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rFonts w:ascii="方正小标宋简体" w:eastAsia="方正小标宋简体"/>
          <w:b w:val="0"/>
          <w:sz w:val="36"/>
          <w:szCs w:val="36"/>
        </w:rPr>
      </w:pPr>
      <w:r>
        <w:rPr>
          <w:rFonts w:hint="eastAsia" w:ascii="方正小标宋简体" w:eastAsia="方正小标宋简体"/>
          <w:b w:val="0"/>
          <w:sz w:val="36"/>
          <w:szCs w:val="36"/>
        </w:rPr>
        <w:t>（二十二）安全生产领域基层政务公开标准目录</w:t>
      </w:r>
    </w:p>
    <w:tbl>
      <w:tblPr>
        <w:tblStyle w:val="7"/>
        <w:tblW w:w="5170" w:type="pct"/>
        <w:tblInd w:w="-276" w:type="dxa"/>
        <w:tblLayout w:type="fixed"/>
        <w:tblCellMar>
          <w:top w:w="15" w:type="dxa"/>
          <w:left w:w="15" w:type="dxa"/>
          <w:bottom w:w="15" w:type="dxa"/>
          <w:right w:w="15" w:type="dxa"/>
        </w:tblCellMar>
      </w:tblPr>
      <w:tblGrid>
        <w:gridCol w:w="570"/>
        <w:gridCol w:w="709"/>
        <w:gridCol w:w="853"/>
        <w:gridCol w:w="2692"/>
        <w:gridCol w:w="2831"/>
        <w:gridCol w:w="1418"/>
        <w:gridCol w:w="1141"/>
        <w:gridCol w:w="849"/>
        <w:gridCol w:w="566"/>
        <w:gridCol w:w="681"/>
        <w:gridCol w:w="478"/>
        <w:gridCol w:w="687"/>
        <w:gridCol w:w="557"/>
        <w:gridCol w:w="711"/>
      </w:tblGrid>
      <w:tr>
        <w:tblPrEx>
          <w:tblCellMar>
            <w:top w:w="15" w:type="dxa"/>
            <w:left w:w="15" w:type="dxa"/>
            <w:bottom w:w="15" w:type="dxa"/>
            <w:right w:w="15" w:type="dxa"/>
          </w:tblCellMar>
        </w:tblPrEx>
        <w:tc>
          <w:tcPr>
            <w:tcW w:w="193"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529"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公开事项</w:t>
            </w:r>
          </w:p>
        </w:tc>
        <w:tc>
          <w:tcPr>
            <w:tcW w:w="912"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公开内容（要素）</w:t>
            </w:r>
          </w:p>
        </w:tc>
        <w:tc>
          <w:tcPr>
            <w:tcW w:w="960"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公开依据</w:t>
            </w:r>
          </w:p>
        </w:tc>
        <w:tc>
          <w:tcPr>
            <w:tcW w:w="480"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公开时限</w:t>
            </w:r>
          </w:p>
        </w:tc>
        <w:tc>
          <w:tcPr>
            <w:tcW w:w="386"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公开主体</w:t>
            </w:r>
          </w:p>
        </w:tc>
        <w:tc>
          <w:tcPr>
            <w:tcW w:w="28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公开渠道和载体</w:t>
            </w:r>
          </w:p>
        </w:tc>
        <w:tc>
          <w:tcPr>
            <w:tcW w:w="422"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公开对象</w:t>
            </w:r>
          </w:p>
        </w:tc>
        <w:tc>
          <w:tcPr>
            <w:tcW w:w="395"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公开方式</w:t>
            </w:r>
          </w:p>
        </w:tc>
        <w:tc>
          <w:tcPr>
            <w:tcW w:w="430"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公开层级</w:t>
            </w:r>
          </w:p>
        </w:tc>
      </w:tr>
      <w:tr>
        <w:tblPrEx>
          <w:tblCellMar>
            <w:top w:w="15" w:type="dxa"/>
            <w:left w:w="15" w:type="dxa"/>
            <w:bottom w:w="15" w:type="dxa"/>
            <w:right w:w="15" w:type="dxa"/>
          </w:tblCellMar>
        </w:tblPrEx>
        <w:trPr>
          <w:trHeight w:val="755" w:hRule="atLeast"/>
        </w:trPr>
        <w:tc>
          <w:tcPr>
            <w:tcW w:w="193"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24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一级事项</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二级事项</w:t>
            </w:r>
          </w:p>
        </w:tc>
        <w:tc>
          <w:tcPr>
            <w:tcW w:w="912"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96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48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386"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28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微软雅黑" w:hAnsi="微软雅黑" w:eastAsia="微软雅黑" w:cs="宋体"/>
                <w:b/>
                <w:bCs/>
                <w:kern w:val="0"/>
                <w:sz w:val="18"/>
                <w:szCs w:val="18"/>
              </w:rPr>
            </w:pP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全社会</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特定群众</w:t>
            </w: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主动</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依申请</w:t>
            </w: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县级</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镇（街道）、村级</w:t>
            </w:r>
          </w:p>
        </w:tc>
      </w:tr>
      <w:tr>
        <w:tblPrEx>
          <w:tblCellMar>
            <w:top w:w="15" w:type="dxa"/>
            <w:left w:w="15" w:type="dxa"/>
            <w:bottom w:w="15" w:type="dxa"/>
            <w:right w:w="15" w:type="dxa"/>
          </w:tblCellMar>
        </w:tblPrEx>
        <w:trPr>
          <w:trHeight w:val="825"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w:t>
            </w:r>
          </w:p>
        </w:tc>
        <w:tc>
          <w:tcPr>
            <w:tcW w:w="240"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政策文件</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法律法规</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与安全生产有关的法律、法规</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813"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2</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部门和地方规章</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与安全生产有关的部门和地方规章</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046"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3</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其他政策文件</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其他可以公开的与安全生产有关的政策文件，包括改革方案、发展规划、专项规划、工作计划等</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306"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4</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重大决策草案</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涉及管理相对人切身利益、需社会广泛知晓的重要改革方案等重大决策，决策前向社会公开决策草案、决策依据</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1.《中华人民共和国政府信息公开条例》（国务院令第711号）2.《关于全面推进政务公开工作的意见》（中办发〔2016〕8号）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5</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重要会议</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通过会议讨论作出重要改革方案等重大决策时，经党组研究认为有必要公开讨论决策过程的会议</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1.《中华人民共和国政府信息公开条例》（国务院令第711号）2.《关于全面推进政务公开工作的意见》（中办发〔2016〕8号）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提前一周发通知邀请</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6</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征集采纳社会公众意见情况</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重大决策草案公布后征集到的社会公众意见情况、采纳与否情况及理由等</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1.《中华人民共和国政府信息公开条例》（国务院令第711号）2.《关于全面推进政务公开工作的意见》（中办发〔2016〕8号）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征求意见时对外公布的时限内公开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395"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7</w:t>
            </w:r>
          </w:p>
        </w:tc>
        <w:tc>
          <w:tcPr>
            <w:tcW w:w="24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行政管理</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隐患管理</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重大隐患排查、挂牌督办及其整改情况，安全生产举报电话等</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1.《安全生产法》2.《中华人民共和国政府信息公开条例》（国务院令第711号）3.《中共中央 国务院关于推进安全生产领域改革发展的意见》</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8</w:t>
            </w:r>
          </w:p>
        </w:tc>
        <w:tc>
          <w:tcPr>
            <w:tcW w:w="240" w:type="pct"/>
            <w:vMerge w:val="restart"/>
            <w:tcBorders>
              <w:top w:val="single" w:color="000000" w:sz="6" w:space="0"/>
              <w:left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行政管理</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应急管理</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承担处置主责、非敏感的应急信息，包括事故灾害类预警信息、事故信息、事故后采取的应急处置措施和应对结果等</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1.《中华人民共和国政府信息公开条例》（国务院令第711号）2.《突发事件应对法》3.《关于全面推进政务公开工作的意见》（中办发〔2016〕8号）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180"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eastAsia" w:ascii="仿宋" w:hAnsi="仿宋" w:eastAsia="仿宋" w:cs="宋体"/>
                <w:bCs/>
                <w:kern w:val="0"/>
                <w:sz w:val="18"/>
                <w:szCs w:val="18"/>
                <w:lang w:eastAsia="zh-CN"/>
              </w:rPr>
            </w:pPr>
            <w:r>
              <w:rPr>
                <w:rFonts w:hint="eastAsia" w:ascii="仿宋" w:hAnsi="仿宋" w:eastAsia="仿宋" w:cs="宋体"/>
                <w:bCs/>
                <w:kern w:val="0"/>
                <w:sz w:val="18"/>
                <w:szCs w:val="18"/>
                <w:lang w:val="en-US" w:eastAsia="zh-CN"/>
              </w:rPr>
              <w:t>9</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动态信息</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业务工作动态、安全生产执法检查动态</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1.《中华人民共和国政府信息公开条例》（国务院令第711号）2.《中共中央 国务院关于推进安全生产领域改革发展的意见》（2016年）</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306"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10</w:t>
            </w:r>
          </w:p>
        </w:tc>
        <w:tc>
          <w:tcPr>
            <w:tcW w:w="24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行政管理</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安全生产预警提示信息</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安全生产提示信息</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1.《中华人民共和国政府信息公开条例》（国务院令第711号）2.《中共中央 国务院关于推进安全生产领域改革发展的意见》（2016年）</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信息形成后及时公开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11</w:t>
            </w:r>
          </w:p>
        </w:tc>
        <w:tc>
          <w:tcPr>
            <w:tcW w:w="24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重点领域信息公开</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财政资金信息</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预算、决算</w:t>
            </w:r>
          </w:p>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“三公”经费</w:t>
            </w:r>
          </w:p>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安全生产专项资金使用等财政资金信息</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1.《中华人民共和国政府信息公开条例》（国务院令第711号）2.《国务院关于深化预算管理制度改革的决定》（国发〔2014〕45号）3.《国务院办公厅关于进一步推进预算公开工作意见的通知》（中办发〔2016〕13号）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按中央要求时限公开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2297"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12</w:t>
            </w:r>
          </w:p>
        </w:tc>
        <w:tc>
          <w:tcPr>
            <w:tcW w:w="240"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重点领域信息公开</w:t>
            </w: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政府采购信息</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本单位采购实施情况相关信息</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1.《中华人民共和国政府信息公开条例》（国务院令第711号）2.《国务院关于深化预算管理制度改革的决定》（国发〔2014〕45号）3.《国务院办公厅关于进一步推进预算公开工作意见的通知》（中办发〔2016〕13号）</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044" w:hRule="atLeast"/>
        </w:trPr>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13</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办事纪律和监督管理</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本单位的办事纪律,受理投诉、举报、信访的途径等内容</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1.《中华人民共和国政府信息公开条例》（国务院令第711号）2.《中共中央 国务院关于推进安全生产领域改革发展的意见》（2016年）</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c>
          <w:tcPr>
            <w:tcW w:w="19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14</w:t>
            </w:r>
          </w:p>
        </w:tc>
        <w:tc>
          <w:tcPr>
            <w:tcW w:w="24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80" w:lineRule="exact"/>
              <w:jc w:val="left"/>
              <w:rPr>
                <w:rFonts w:ascii="仿宋" w:hAnsi="仿宋" w:eastAsia="仿宋" w:cs="宋体"/>
                <w:bCs/>
                <w:kern w:val="0"/>
                <w:sz w:val="18"/>
                <w:szCs w:val="18"/>
              </w:rPr>
            </w:pPr>
          </w:p>
        </w:tc>
        <w:tc>
          <w:tcPr>
            <w:tcW w:w="28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检查和巡查发现安全监管监察问题</w:t>
            </w:r>
          </w:p>
        </w:tc>
        <w:tc>
          <w:tcPr>
            <w:tcW w:w="91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检查和巡查发现的、并要求向社会公开的问题及整改落实情况</w:t>
            </w:r>
          </w:p>
        </w:tc>
        <w:tc>
          <w:tcPr>
            <w:tcW w:w="96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1.《中华人民共和国政府信息公开条例》（国务院令第711号）2.《中共中央 国务院关于推进安全生产领域改革发展的意见》（2016年）</w:t>
            </w:r>
          </w:p>
        </w:tc>
        <w:tc>
          <w:tcPr>
            <w:tcW w:w="48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8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28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9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6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32"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left"/>
              <w:outlineLvl w:val="1"/>
              <w:rPr>
                <w:rFonts w:ascii="仿宋" w:hAnsi="仿宋" w:eastAsia="仿宋" w:cs="宋体"/>
                <w:bCs/>
                <w:kern w:val="0"/>
                <w:sz w:val="36"/>
                <w:szCs w:val="36"/>
              </w:rPr>
            </w:pPr>
          </w:p>
        </w:tc>
        <w:tc>
          <w:tcPr>
            <w:tcW w:w="18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8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bl>
    <w:p/>
    <w:p>
      <w:pPr>
        <w:widowControl/>
        <w:jc w:val="left"/>
      </w:pPr>
      <w:r>
        <w:br w:type="page"/>
      </w:r>
    </w:p>
    <w:p>
      <w:pPr>
        <w:pStyle w:val="2"/>
        <w:jc w:val="center"/>
        <w:rPr>
          <w:rFonts w:ascii="方正小标宋简体" w:eastAsia="方正小标宋简体"/>
          <w:b w:val="0"/>
          <w:sz w:val="36"/>
          <w:szCs w:val="36"/>
        </w:rPr>
      </w:pPr>
      <w:r>
        <w:rPr>
          <w:rFonts w:hint="eastAsia" w:ascii="方正小标宋简体" w:eastAsia="方正小标宋简体"/>
          <w:b w:val="0"/>
          <w:sz w:val="36"/>
          <w:szCs w:val="36"/>
        </w:rPr>
        <w:t>（二十三）救灾领域基层政务公开标准目录</w:t>
      </w:r>
    </w:p>
    <w:tbl>
      <w:tblPr>
        <w:tblStyle w:val="7"/>
        <w:tblW w:w="5000" w:type="pct"/>
        <w:jc w:val="center"/>
        <w:tblLayout w:type="fixed"/>
        <w:tblCellMar>
          <w:top w:w="15" w:type="dxa"/>
          <w:left w:w="15" w:type="dxa"/>
          <w:bottom w:w="15" w:type="dxa"/>
          <w:right w:w="15" w:type="dxa"/>
        </w:tblCellMar>
      </w:tblPr>
      <w:tblGrid>
        <w:gridCol w:w="652"/>
        <w:gridCol w:w="733"/>
        <w:gridCol w:w="1032"/>
        <w:gridCol w:w="2196"/>
        <w:gridCol w:w="2190"/>
        <w:gridCol w:w="1836"/>
        <w:gridCol w:w="1132"/>
        <w:gridCol w:w="990"/>
        <w:gridCol w:w="425"/>
        <w:gridCol w:w="707"/>
        <w:gridCol w:w="525"/>
        <w:gridCol w:w="559"/>
        <w:gridCol w:w="525"/>
        <w:gridCol w:w="756"/>
      </w:tblGrid>
      <w:tr>
        <w:tblPrEx>
          <w:tblCellMar>
            <w:top w:w="15" w:type="dxa"/>
            <w:left w:w="15" w:type="dxa"/>
            <w:bottom w:w="15" w:type="dxa"/>
            <w:right w:w="15" w:type="dxa"/>
          </w:tblCellMar>
        </w:tblPrEx>
        <w:trPr>
          <w:jc w:val="center"/>
        </w:trPr>
        <w:tc>
          <w:tcPr>
            <w:tcW w:w="228"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序号</w:t>
            </w:r>
          </w:p>
        </w:tc>
        <w:tc>
          <w:tcPr>
            <w:tcW w:w="618"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公开事项</w:t>
            </w:r>
          </w:p>
        </w:tc>
        <w:tc>
          <w:tcPr>
            <w:tcW w:w="770"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公开内容（要素）</w:t>
            </w:r>
          </w:p>
        </w:tc>
        <w:tc>
          <w:tcPr>
            <w:tcW w:w="76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公开依据</w:t>
            </w:r>
          </w:p>
        </w:tc>
        <w:tc>
          <w:tcPr>
            <w:tcW w:w="643"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公开时限</w:t>
            </w:r>
          </w:p>
        </w:tc>
        <w:tc>
          <w:tcPr>
            <w:tcW w:w="396"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公开主体</w:t>
            </w:r>
          </w:p>
        </w:tc>
        <w:tc>
          <w:tcPr>
            <w:tcW w:w="34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公开渠道和载体</w:t>
            </w:r>
          </w:p>
        </w:tc>
        <w:tc>
          <w:tcPr>
            <w:tcW w:w="396"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公开对象</w:t>
            </w:r>
          </w:p>
        </w:tc>
        <w:tc>
          <w:tcPr>
            <w:tcW w:w="380"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公开方式</w:t>
            </w:r>
          </w:p>
        </w:tc>
        <w:tc>
          <w:tcPr>
            <w:tcW w:w="449" w:type="pct"/>
            <w:gridSpan w:val="2"/>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公开层级</w:t>
            </w:r>
          </w:p>
        </w:tc>
      </w:tr>
      <w:tr>
        <w:tblPrEx>
          <w:tblCellMar>
            <w:top w:w="15" w:type="dxa"/>
            <w:left w:w="15" w:type="dxa"/>
            <w:bottom w:w="15" w:type="dxa"/>
            <w:right w:w="15" w:type="dxa"/>
          </w:tblCellMar>
        </w:tblPrEx>
        <w:trPr>
          <w:trHeight w:val="694" w:hRule="atLeast"/>
          <w:jc w:val="center"/>
        </w:trPr>
        <w:tc>
          <w:tcPr>
            <w:tcW w:w="228"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一级事项</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二级事项</w:t>
            </w:r>
          </w:p>
        </w:tc>
        <w:tc>
          <w:tcPr>
            <w:tcW w:w="770"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76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643"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396"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34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微软雅黑" w:hAnsi="微软雅黑" w:eastAsia="微软雅黑" w:cs="宋体"/>
                <w:b/>
                <w:bCs/>
                <w:kern w:val="0"/>
                <w:sz w:val="18"/>
                <w:szCs w:val="18"/>
              </w:rPr>
            </w:pP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全社会</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特定群众</w:t>
            </w: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主动</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依申请</w:t>
            </w: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县级</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微软雅黑" w:hAnsi="微软雅黑" w:eastAsia="微软雅黑" w:cs="宋体"/>
                <w:b/>
                <w:bCs/>
                <w:kern w:val="0"/>
                <w:sz w:val="18"/>
                <w:szCs w:val="18"/>
              </w:rPr>
            </w:pPr>
            <w:r>
              <w:rPr>
                <w:rFonts w:hint="eastAsia" w:ascii="微软雅黑" w:hAnsi="微软雅黑" w:eastAsia="微软雅黑" w:cs="宋体"/>
                <w:b/>
                <w:bCs/>
                <w:kern w:val="0"/>
                <w:sz w:val="18"/>
                <w:szCs w:val="18"/>
              </w:rPr>
              <w:t>镇（街道）、村级</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w:t>
            </w:r>
          </w:p>
        </w:tc>
        <w:tc>
          <w:tcPr>
            <w:tcW w:w="25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政策</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文件</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法律法规</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与救灾有关的法律、法规</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809"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2</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部门和地方规章</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与救灾有关的部门和地方规章、规范性文件</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009"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3</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其他政策文件</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其他可以公开的与救灾有关的政策文件，包括改革方案、发展规划、专项规划、工作计划等</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5</w:t>
            </w:r>
          </w:p>
        </w:tc>
        <w:tc>
          <w:tcPr>
            <w:tcW w:w="25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政策</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文件</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重大决策草案</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涉及管理相对人切身利益、需社会广泛知晓的重要改革方案等重大决策，决策前向社会公开决策草案、决策依据</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1.《中华人民共和国政府信息公开条例》（国务院令第711号）2.中办、国办《关于全面推进政务公开工作的意见》（2016年）</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6</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重大政策解读及回应</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有关重大政策的解读及回应</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相关热点问题的解读及回应</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1.《中华人民共和国政府信息公开条例》（国务院令第711号）2.《国务院办公厅关于在政务公开工作中进一步做好政务舆情回应的通知》（国办发〔2016〕61号）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重大决策作出后及时公开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7</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重要会议</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以会议讨论作出重要改革方案等重大决策时，经党组研究认为有必要公开讨论决策过程的会议</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1.《中华人民共和国政府信息公开条例》（国务院令第711号）2.中办、国办《关于全面推进政务公开工作的意见》（2016年）</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提前一周发通知邀请</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8</w:t>
            </w:r>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政策</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文件</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征集采纳社会公众意见情况</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重大决策草案公布后征集到的社会公众意见情况、采纳与否情况及理由等</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1.《中华人民共和国政府信息公开条例》（国务院令第711号）2.中办、国办《关于全面推进政务公开工作的意见》（2016年）</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征求意见时对外公布的时限内公开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2077"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9</w:t>
            </w:r>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备灾</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管理</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综合减灾示范社区</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综合减灾示范社区分布情况（其具体位置、创建时间、创建级别等）</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1.《中华人民共和国政府信息公开条例》（国务院令第711号）2.《社会救助暂行办法》（国务院令第649号）3.《国家综合防灾减灾规划（2016-2020年）》（国办发〔2016〕104号）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10</w:t>
            </w:r>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灾后</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救助</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救助审定信息</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自然灾害救助（5类）的救助对象、申报材料、办理程序及时限等</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1.《中华人民共和国政府信息公开条例》（国务院令第711号）2.《自然灾害救助条例》（国务院令第577条）</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203"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11</w:t>
            </w:r>
          </w:p>
        </w:tc>
        <w:tc>
          <w:tcPr>
            <w:tcW w:w="25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灾害</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救助</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应急管理部门审批</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救助款物通知及划拨情况</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1.《中华人民共和国政府信息公开条例》（国务院令第711号）2.《自然灾害救助条例》（国务院令第577条）</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2309"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12</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因灾过渡期生活救助</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因灾过渡期生活救助标准、过渡期生活救助对象评议结果公示（受灾群众姓名、受灾情况、拟救助金额、监督举报电话），过渡期生活救助对象确定（受灾群众姓名、受灾情况、救助金额、监督举报电话)</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1.《中华人民共和国政府信息公开条例》（国务院令第711号）2.《自然灾害救助条例》（国务院令第577条）</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1849"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13</w:t>
            </w:r>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灾后</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救助</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居民住房恢复重建救助</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居民住房恢复重建救助标准（居民因灾倒房、损房恢复重建具体救助标准）</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居民住房恢复重建救助对象评议结果公示（公开受灾群众姓名、受灾情况、拟救助标准、监督举报电话）</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1.《中华人民共和国政府信息公开条例》（国务院令第711号）2.《自然灾害救助条例》（国务院令第577条）</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信息形成或变更之日起20个工作日内</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667"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14</w:t>
            </w:r>
          </w:p>
        </w:tc>
        <w:tc>
          <w:tcPr>
            <w:tcW w:w="257" w:type="pct"/>
            <w:vMerge w:val="restar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款物</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管理</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捐赠款物信息</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年度捐赠款物信息以及款物使用情况</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15</w:t>
            </w:r>
          </w:p>
        </w:tc>
        <w:tc>
          <w:tcPr>
            <w:tcW w:w="257" w:type="pct"/>
            <w:vMerge w:val="continue"/>
            <w:tcBorders>
              <w:top w:val="single" w:color="000000" w:sz="6" w:space="0"/>
              <w:left w:val="single" w:color="000000" w:sz="6" w:space="0"/>
              <w:bottom w:val="single" w:color="000000" w:sz="6" w:space="0"/>
              <w:right w:val="single" w:color="000000" w:sz="6" w:space="0"/>
            </w:tcBorders>
            <w:vAlign w:val="center"/>
          </w:tcPr>
          <w:p>
            <w:pPr>
              <w:widowControl/>
              <w:spacing w:line="270" w:lineRule="exact"/>
              <w:jc w:val="left"/>
              <w:rPr>
                <w:rFonts w:ascii="仿宋" w:hAnsi="仿宋" w:eastAsia="仿宋" w:cs="宋体"/>
                <w:bCs/>
                <w:kern w:val="0"/>
                <w:sz w:val="18"/>
                <w:szCs w:val="18"/>
              </w:rPr>
            </w:pP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年度款物使用情况</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年度救灾资金和救灾物资等使用情况</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r>
        <w:tblPrEx>
          <w:tblCellMar>
            <w:top w:w="15" w:type="dxa"/>
            <w:left w:w="15" w:type="dxa"/>
            <w:bottom w:w="15" w:type="dxa"/>
            <w:right w:w="15" w:type="dxa"/>
          </w:tblCellMar>
        </w:tblPrEx>
        <w:trPr>
          <w:trHeight w:val="426" w:hRule="atLeast"/>
          <w:jc w:val="center"/>
        </w:trPr>
        <w:tc>
          <w:tcPr>
            <w:tcW w:w="228"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hint="default" w:ascii="仿宋" w:hAnsi="仿宋" w:eastAsia="仿宋" w:cs="宋体"/>
                <w:bCs/>
                <w:kern w:val="0"/>
                <w:sz w:val="18"/>
                <w:szCs w:val="18"/>
                <w:lang w:val="en-US" w:eastAsia="zh-CN"/>
              </w:rPr>
            </w:pPr>
            <w:r>
              <w:rPr>
                <w:rFonts w:hint="eastAsia" w:ascii="仿宋" w:hAnsi="仿宋" w:eastAsia="仿宋" w:cs="宋体"/>
                <w:bCs/>
                <w:kern w:val="0"/>
                <w:sz w:val="18"/>
                <w:szCs w:val="18"/>
                <w:lang w:val="en-US" w:eastAsia="zh-CN"/>
              </w:rPr>
              <w:t>16</w:t>
            </w:r>
            <w:bookmarkStart w:id="0" w:name="_GoBack"/>
            <w:bookmarkEnd w:id="0"/>
          </w:p>
        </w:tc>
        <w:tc>
          <w:tcPr>
            <w:tcW w:w="25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工作</w:t>
            </w:r>
          </w:p>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动态</w:t>
            </w:r>
          </w:p>
        </w:tc>
        <w:tc>
          <w:tcPr>
            <w:tcW w:w="361"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工作信息</w:t>
            </w:r>
          </w:p>
        </w:tc>
        <w:tc>
          <w:tcPr>
            <w:tcW w:w="770"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防灾减灾救灾其他相关动态信息</w:t>
            </w:r>
          </w:p>
        </w:tc>
        <w:tc>
          <w:tcPr>
            <w:tcW w:w="76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《中华人民共和国政府信息公开条例》（国务院令第711号）</w:t>
            </w:r>
          </w:p>
        </w:tc>
        <w:tc>
          <w:tcPr>
            <w:tcW w:w="643"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按进展情况及时公开</w:t>
            </w:r>
          </w:p>
        </w:tc>
        <w:tc>
          <w:tcPr>
            <w:tcW w:w="3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县级应急管理局</w:t>
            </w:r>
          </w:p>
        </w:tc>
        <w:tc>
          <w:tcPr>
            <w:tcW w:w="3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outlineLvl w:val="1"/>
              <w:rPr>
                <w:rFonts w:ascii="仿宋" w:hAnsi="仿宋" w:eastAsia="仿宋" w:cs="宋体"/>
                <w:bCs/>
                <w:kern w:val="0"/>
                <w:sz w:val="18"/>
                <w:szCs w:val="18"/>
              </w:rPr>
            </w:pPr>
            <w:r>
              <w:rPr>
                <w:rFonts w:hint="eastAsia" w:ascii="仿宋" w:hAnsi="仿宋" w:eastAsia="仿宋" w:cs="宋体"/>
                <w:bCs/>
                <w:kern w:val="0"/>
                <w:sz w:val="18"/>
                <w:szCs w:val="18"/>
              </w:rPr>
              <w:t>■政府网站</w:t>
            </w:r>
          </w:p>
        </w:tc>
        <w:tc>
          <w:tcPr>
            <w:tcW w:w="149"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47"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196"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left"/>
              <w:rPr>
                <w:rFonts w:ascii="仿宋" w:hAnsi="仿宋" w:eastAsia="仿宋" w:cs="宋体"/>
                <w:kern w:val="0"/>
                <w:sz w:val="23"/>
                <w:szCs w:val="23"/>
              </w:rPr>
            </w:pPr>
          </w:p>
        </w:tc>
        <w:tc>
          <w:tcPr>
            <w:tcW w:w="184"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c>
          <w:tcPr>
            <w:tcW w:w="265" w:type="pct"/>
            <w:tcBorders>
              <w:top w:val="single" w:color="000000" w:sz="6" w:space="0"/>
              <w:left w:val="single" w:color="000000" w:sz="6" w:space="0"/>
              <w:bottom w:val="single" w:color="000000" w:sz="6" w:space="0"/>
              <w:right w:val="single" w:color="000000" w:sz="6" w:space="0"/>
            </w:tcBorders>
            <w:tcMar>
              <w:top w:w="75" w:type="dxa"/>
              <w:left w:w="150" w:type="dxa"/>
              <w:bottom w:w="75" w:type="dxa"/>
              <w:right w:w="150" w:type="dxa"/>
            </w:tcMar>
            <w:vAlign w:val="center"/>
          </w:tcPr>
          <w:p>
            <w:pPr>
              <w:widowControl/>
              <w:spacing w:line="270" w:lineRule="exact"/>
              <w:jc w:val="center"/>
              <w:outlineLvl w:val="1"/>
              <w:rPr>
                <w:rFonts w:ascii="仿宋" w:hAnsi="仿宋" w:eastAsia="仿宋" w:cs="宋体"/>
                <w:bCs/>
                <w:kern w:val="0"/>
                <w:sz w:val="18"/>
                <w:szCs w:val="18"/>
              </w:rPr>
            </w:pPr>
            <w:r>
              <w:rPr>
                <w:rFonts w:hint="eastAsia" w:ascii="仿宋" w:hAnsi="仿宋" w:eastAsia="仿宋" w:cs="宋体"/>
                <w:bCs/>
                <w:kern w:val="0"/>
                <w:sz w:val="18"/>
                <w:szCs w:val="18"/>
              </w:rPr>
              <w:t>√</w:t>
            </w:r>
          </w:p>
        </w:tc>
      </w:tr>
    </w:tbl>
    <w:p/>
    <w:sectPr>
      <w:pgSz w:w="16838" w:h="11906" w:orient="landscape"/>
      <w:pgMar w:top="1644" w:right="1440" w:bottom="1644"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059"/>
    <w:rsid w:val="00016D31"/>
    <w:rsid w:val="001B27A2"/>
    <w:rsid w:val="00222AF8"/>
    <w:rsid w:val="004A4F18"/>
    <w:rsid w:val="004A538C"/>
    <w:rsid w:val="004B357F"/>
    <w:rsid w:val="00500EB2"/>
    <w:rsid w:val="005F1E62"/>
    <w:rsid w:val="005F71D8"/>
    <w:rsid w:val="00631A89"/>
    <w:rsid w:val="0068698E"/>
    <w:rsid w:val="006B3FB5"/>
    <w:rsid w:val="006C55A3"/>
    <w:rsid w:val="0072750D"/>
    <w:rsid w:val="008C0FCF"/>
    <w:rsid w:val="00903F18"/>
    <w:rsid w:val="00962360"/>
    <w:rsid w:val="00B939F3"/>
    <w:rsid w:val="00BC45E6"/>
    <w:rsid w:val="00BD6059"/>
    <w:rsid w:val="00BE6D61"/>
    <w:rsid w:val="00C24C56"/>
    <w:rsid w:val="00C32481"/>
    <w:rsid w:val="00D64911"/>
    <w:rsid w:val="00F4696B"/>
    <w:rsid w:val="00F530AE"/>
    <w:rsid w:val="2F980866"/>
    <w:rsid w:val="6F7B21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2"/>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9"/>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customStyle="1" w:styleId="9">
    <w:name w:val="标题 2 Char"/>
    <w:basedOn w:val="8"/>
    <w:link w:val="3"/>
    <w:uiPriority w:val="9"/>
    <w:rPr>
      <w:rFonts w:ascii="宋体" w:hAnsi="宋体" w:cs="宋体"/>
      <w:b/>
      <w:bCs/>
      <w:sz w:val="36"/>
      <w:szCs w:val="36"/>
    </w:rPr>
  </w:style>
  <w:style w:type="character" w:customStyle="1" w:styleId="10">
    <w:name w:val="页眉 Char"/>
    <w:basedOn w:val="8"/>
    <w:link w:val="5"/>
    <w:uiPriority w:val="0"/>
    <w:rPr>
      <w:kern w:val="2"/>
      <w:sz w:val="18"/>
      <w:szCs w:val="18"/>
    </w:rPr>
  </w:style>
  <w:style w:type="character" w:customStyle="1" w:styleId="11">
    <w:name w:val="页脚 Char"/>
    <w:basedOn w:val="8"/>
    <w:link w:val="4"/>
    <w:qFormat/>
    <w:uiPriority w:val="0"/>
    <w:rPr>
      <w:kern w:val="2"/>
      <w:sz w:val="18"/>
      <w:szCs w:val="18"/>
    </w:rPr>
  </w:style>
  <w:style w:type="character" w:customStyle="1" w:styleId="12">
    <w:name w:val="标题 1 Char"/>
    <w:basedOn w:val="8"/>
    <w:link w:val="2"/>
    <w:qFormat/>
    <w:uiPriority w:val="0"/>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10</Pages>
  <Words>1040</Words>
  <Characters>5931</Characters>
  <Lines>49</Lines>
  <Paragraphs>13</Paragraphs>
  <TotalTime>14</TotalTime>
  <ScaleCrop>false</ScaleCrop>
  <LinksUpToDate>false</LinksUpToDate>
  <CharactersWithSpaces>6958</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2020-11-03T02:16:00Z</dcterms:created>
  <dc:creator>欧育辉</dc:creator>
  <cp:lastModifiedBy>Administrator</cp:lastModifiedBy>
  <dcterms:modified xsi:type="dcterms:W3CDTF">2020-11-18T03:06:56Z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