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/>
        <w:ind w:firstLine="0" w:firstLineChars="0"/>
        <w:jc w:val="both"/>
        <w:rPr>
          <w:rFonts w:ascii="黑体" w:hAnsi="黑体" w:eastAsia="黑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20"/>
          <w:lang w:val="en-US" w:eastAsia="zh-CN" w:bidi="ar-SA"/>
        </w:rPr>
        <w:t>附件1：</w:t>
      </w:r>
    </w:p>
    <w:p>
      <w:pPr>
        <w:widowControl w:val="0"/>
        <w:spacing w:after="0"/>
        <w:ind w:firstLine="0" w:firstLineChars="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</w:p>
    <w:p>
      <w:pPr>
        <w:snapToGrid w:val="0"/>
        <w:spacing w:line="9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江门市中小企业数字化转型城市试点</w:t>
      </w:r>
    </w:p>
    <w:p>
      <w:pPr>
        <w:snapToGrid w:val="0"/>
        <w:spacing w:line="9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牵引单位申报表</w:t>
      </w:r>
    </w:p>
    <w:p>
      <w:pPr>
        <w:spacing w:line="579" w:lineRule="exact"/>
        <w:rPr>
          <w:rFonts w:ascii="Times New Roman" w:hAnsi="Times New Roman" w:eastAsia="黑体"/>
          <w:sz w:val="32"/>
          <w:szCs w:val="32"/>
        </w:rPr>
      </w:pPr>
    </w:p>
    <w:p>
      <w:pPr>
        <w:spacing w:line="579" w:lineRule="exact"/>
        <w:rPr>
          <w:rFonts w:ascii="Times New Roman" w:hAnsi="Times New Roman" w:eastAsia="黑体"/>
          <w:sz w:val="32"/>
          <w:szCs w:val="32"/>
        </w:rPr>
      </w:pPr>
    </w:p>
    <w:p>
      <w:pPr>
        <w:spacing w:line="360" w:lineRule="auto"/>
        <w:ind w:firstLine="281" w:firstLineChars="88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申报单位：</w:t>
      </w:r>
      <w:r>
        <w:rPr>
          <w:rFonts w:hint="eastAsia" w:ascii="Times New Roman" w:hAnsi="Times New Roman" w:eastAsia="仿宋"/>
          <w:sz w:val="32"/>
          <w:szCs w:val="32"/>
          <w:u w:val="single"/>
          <w:lang w:val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  <w:lang w:val="zh-CN"/>
        </w:rPr>
        <w:t xml:space="preserve">                             </w:t>
      </w:r>
      <w:r>
        <w:rPr>
          <w:rFonts w:hint="eastAsia" w:ascii="Times New Roman" w:hAnsi="Times New Roman" w:eastAsia="仿宋"/>
          <w:sz w:val="32"/>
          <w:szCs w:val="32"/>
          <w:lang w:val="zh-CN"/>
        </w:rPr>
        <w:t>（加盖公章）</w:t>
      </w:r>
    </w:p>
    <w:p>
      <w:pPr>
        <w:spacing w:line="360" w:lineRule="auto"/>
        <w:ind w:firstLine="281" w:firstLineChars="88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申报类型：</w:t>
      </w:r>
      <w:r>
        <w:rPr>
          <w:rFonts w:ascii="仿宋_GB2312" w:eastAsia="仿宋_GB2312"/>
          <w:sz w:val="32"/>
          <w:szCs w:val="32"/>
        </w:rPr>
        <w:sym w:font="Wingdings 2" w:char="00A3"/>
      </w:r>
      <w:r>
        <w:rPr>
          <w:rFonts w:hint="eastAsia" w:ascii="仿宋_GB2312" w:eastAsia="仿宋_GB2312"/>
          <w:sz w:val="32"/>
          <w:szCs w:val="32"/>
        </w:rPr>
        <w:t>供应链模式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sym w:font="Wingdings 2" w:char="00A3"/>
      </w:r>
      <w:r>
        <w:rPr>
          <w:rFonts w:hint="eastAsia" w:ascii="仿宋_GB2312" w:eastAsia="仿宋_GB2312"/>
          <w:sz w:val="32"/>
          <w:szCs w:val="32"/>
        </w:rPr>
        <w:t>产业链模式</w:t>
      </w:r>
    </w:p>
    <w:p>
      <w:pPr>
        <w:spacing w:line="360" w:lineRule="auto"/>
        <w:ind w:firstLine="281" w:firstLineChars="88"/>
        <w:rPr>
          <w:rFonts w:ascii="Times New Roman" w:hAnsi="Times New Roman" w:eastAsia="仿宋"/>
          <w:sz w:val="32"/>
          <w:szCs w:val="32"/>
          <w:u w:val="single"/>
          <w:lang w:val="zh-CN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选择的细分行业：</w:t>
      </w:r>
    </w:p>
    <w:p>
      <w:pPr>
        <w:adjustRightInd w:val="0"/>
        <w:snapToGrid w:val="0"/>
        <w:spacing w:before="160" w:line="300" w:lineRule="exact"/>
        <w:ind w:firstLine="796" w:firstLineChars="400"/>
        <w:jc w:val="left"/>
        <w:textAlignment w:val="bottom"/>
        <w:rPr>
          <w:rFonts w:ascii="仿宋_GB2312" w:eastAsia="仿宋_GB2312"/>
          <w:w w:val="66"/>
          <w:sz w:val="24"/>
          <w:szCs w:val="24"/>
        </w:rPr>
      </w:pPr>
      <w:r>
        <w:rPr>
          <w:rFonts w:hint="eastAsia" w:ascii="仿宋_GB2312" w:eastAsia="仿宋_GB2312"/>
          <w:b/>
          <w:bCs/>
          <w:spacing w:val="0"/>
          <w:w w:val="83"/>
          <w:kern w:val="0"/>
          <w:sz w:val="24"/>
          <w:szCs w:val="24"/>
          <w:fitText w:val="2400" w:id="-462976892"/>
        </w:rPr>
        <w:t>主选</w:t>
      </w:r>
      <w:r>
        <w:rPr>
          <w:rFonts w:hint="eastAsia" w:ascii="仿宋_GB2312" w:eastAsia="仿宋_GB2312"/>
          <w:spacing w:val="0"/>
          <w:w w:val="83"/>
          <w:kern w:val="0"/>
          <w:sz w:val="24"/>
          <w:szCs w:val="24"/>
          <w:fitText w:val="2400" w:id="-462976892"/>
        </w:rPr>
        <w:t>（可选不超过2个）</w:t>
      </w:r>
      <w:r>
        <w:rPr>
          <w:rFonts w:hint="eastAsia" w:ascii="仿宋_GB2312" w:eastAsia="仿宋_GB2312"/>
          <w:spacing w:val="5"/>
          <w:w w:val="83"/>
          <w:kern w:val="0"/>
          <w:sz w:val="24"/>
          <w:szCs w:val="24"/>
          <w:fitText w:val="2400" w:id="-462976892"/>
        </w:rPr>
        <w:t>：</w:t>
      </w:r>
    </w:p>
    <w:p>
      <w:pPr>
        <w:spacing w:line="300" w:lineRule="exact"/>
        <w:ind w:firstLine="960" w:firstLineChars="400"/>
        <w:jc w:val="left"/>
        <w:textAlignment w:val="bottom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 xml:space="preserve">五金及不锈钢制品行业  </w:t>
      </w: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摩托车及零配件制造业</w:t>
      </w:r>
    </w:p>
    <w:p>
      <w:pPr>
        <w:spacing w:line="300" w:lineRule="exact"/>
        <w:ind w:firstLine="960" w:firstLineChars="400"/>
        <w:jc w:val="left"/>
        <w:textAlignment w:val="bottom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 xml:space="preserve">造纸及纸制品业        </w:t>
      </w: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新一代电子信息产业</w:t>
      </w:r>
    </w:p>
    <w:p>
      <w:pPr>
        <w:spacing w:line="300" w:lineRule="exact"/>
        <w:ind w:firstLine="960" w:firstLineChars="400"/>
        <w:jc w:val="left"/>
        <w:textAlignment w:val="bottom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小家电制造业</w:t>
      </w:r>
    </w:p>
    <w:p>
      <w:pPr>
        <w:spacing w:before="160" w:line="300" w:lineRule="exact"/>
        <w:ind w:firstLine="776" w:firstLineChars="400"/>
        <w:jc w:val="left"/>
        <w:textAlignment w:val="bottom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pacing w:val="1"/>
          <w:w w:val="80"/>
          <w:kern w:val="0"/>
          <w:sz w:val="24"/>
          <w:szCs w:val="24"/>
          <w:fitText w:val="6000" w:id="-268458579"/>
        </w:rPr>
        <w:t>备选</w:t>
      </w:r>
      <w:r>
        <w:rPr>
          <w:rFonts w:hint="eastAsia" w:ascii="仿宋_GB2312" w:eastAsia="仿宋_GB2312"/>
          <w:spacing w:val="1"/>
          <w:w w:val="80"/>
          <w:kern w:val="0"/>
          <w:sz w:val="24"/>
          <w:szCs w:val="24"/>
          <w:fitText w:val="6000" w:id="-268458579"/>
        </w:rPr>
        <w:t>（如未入围主选行业，同意被调剂到的其他行业，只能选1个）</w:t>
      </w:r>
      <w:r>
        <w:rPr>
          <w:rFonts w:hint="eastAsia" w:ascii="仿宋_GB2312" w:eastAsia="仿宋_GB2312"/>
          <w:spacing w:val="2"/>
          <w:w w:val="80"/>
          <w:kern w:val="0"/>
          <w:sz w:val="24"/>
          <w:szCs w:val="24"/>
          <w:fitText w:val="6000" w:id="-268458579"/>
        </w:rPr>
        <w:t>：</w:t>
      </w:r>
    </w:p>
    <w:p>
      <w:pPr>
        <w:spacing w:line="300" w:lineRule="exact"/>
        <w:ind w:firstLine="960" w:firstLineChars="400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 xml:space="preserve">五金及不锈钢制品行业  </w:t>
      </w: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摩托车及零配件制造业</w:t>
      </w:r>
    </w:p>
    <w:p>
      <w:pPr>
        <w:spacing w:line="300" w:lineRule="exact"/>
        <w:ind w:firstLine="960" w:firstLineChars="400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 xml:space="preserve">造纸及纸制品业        </w:t>
      </w: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新一代电子信息产业</w:t>
      </w:r>
    </w:p>
    <w:p>
      <w:pPr>
        <w:spacing w:line="300" w:lineRule="exact"/>
        <w:ind w:firstLine="960" w:firstLineChars="400"/>
        <w:jc w:val="left"/>
        <w:textAlignment w:val="bottom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 2" w:char="00A3"/>
      </w:r>
      <w:r>
        <w:rPr>
          <w:rFonts w:hint="eastAsia" w:ascii="仿宋_GB2312" w:eastAsia="仿宋_GB2312"/>
          <w:sz w:val="24"/>
          <w:szCs w:val="24"/>
        </w:rPr>
        <w:t>小家电制造业</w:t>
      </w:r>
    </w:p>
    <w:p>
      <w:pPr>
        <w:widowControl w:val="0"/>
        <w:spacing w:after="0"/>
        <w:ind w:firstLine="300" w:firstLineChars="10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</w:p>
    <w:p>
      <w:pPr>
        <w:spacing w:line="360" w:lineRule="auto"/>
        <w:ind w:firstLine="281" w:firstLineChars="88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zh-CN"/>
        </w:rPr>
        <w:t>联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lang w:val="zh-CN"/>
        </w:rPr>
        <w:t>系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lang w:val="zh-CN"/>
        </w:rPr>
        <w:t>人：</w:t>
      </w:r>
      <w:r>
        <w:rPr>
          <w:rFonts w:hint="eastAsia" w:ascii="Times New Roman" w:hAnsi="Times New Roman" w:eastAsia="仿宋"/>
          <w:sz w:val="32"/>
          <w:szCs w:val="32"/>
          <w:u w:val="single"/>
          <w:lang w:val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  <w:lang w:val="zh-CN"/>
        </w:rPr>
        <w:t xml:space="preserve">                                  </w:t>
      </w:r>
    </w:p>
    <w:p>
      <w:pPr>
        <w:widowControl w:val="0"/>
        <w:spacing w:after="0" w:line="360" w:lineRule="auto"/>
        <w:ind w:firstLine="281" w:firstLineChars="88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zh-CN" w:eastAsia="zh-CN" w:bidi="ar-SA"/>
        </w:rPr>
        <w:t>联系电话：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  <w:lang w:val="zh-CN" w:eastAsia="zh-CN" w:bidi="ar-SA"/>
        </w:rPr>
        <w:t xml:space="preserve">                                  </w:t>
      </w:r>
    </w:p>
    <w:p>
      <w:pPr>
        <w:widowControl w:val="0"/>
        <w:spacing w:after="0"/>
        <w:ind w:firstLine="0" w:firstLineChars="0"/>
        <w:jc w:val="center"/>
        <w:rPr>
          <w:rFonts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center"/>
        <w:rPr>
          <w:rFonts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center"/>
        <w:rPr>
          <w:rFonts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2023年11月</w:t>
      </w:r>
    </w:p>
    <w:p>
      <w:pPr>
        <w:widowControl w:val="0"/>
        <w:spacing w:after="0"/>
        <w:ind w:firstLine="0" w:firstLineChars="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</w:p>
    <w:p>
      <w:pPr>
        <w:widowControl w:val="0"/>
        <w:spacing w:after="0"/>
        <w:ind w:firstLine="0" w:firstLineChars="0"/>
        <w:jc w:val="both"/>
        <w:rPr>
          <w:rFonts w:ascii="Calibri" w:hAnsi="Calibri" w:eastAsia="宋体" w:cs="Times New Roman"/>
          <w:kern w:val="2"/>
          <w:sz w:val="30"/>
          <w:szCs w:val="20"/>
          <w:lang w:val="en-US" w:eastAsia="zh-CN" w:bidi="ar-SA"/>
        </w:rPr>
      </w:pPr>
    </w:p>
    <w:p>
      <w:pPr>
        <w:ind w:firstLine="0" w:firstLineChars="0"/>
        <w:sectPr>
          <w:pgSz w:w="11906" w:h="16838"/>
          <w:pgMar w:top="1418" w:right="1701" w:bottom="1418" w:left="1701" w:header="851" w:footer="992" w:gutter="0"/>
          <w:pgNumType w:fmt="numberInDash"/>
          <w:cols w:space="425" w:num="1"/>
          <w:docGrid w:type="linesAndChars" w:linePitch="312" w:charSpace="0"/>
        </w:sectPr>
      </w:pPr>
    </w:p>
    <w:tbl>
      <w:tblPr>
        <w:tblStyle w:val="8"/>
        <w:tblW w:w="58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989"/>
        <w:gridCol w:w="2115"/>
        <w:gridCol w:w="877"/>
        <w:gridCol w:w="1533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widowControl w:val="0"/>
              <w:spacing w:after="0"/>
              <w:ind w:right="480"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单位名称</w:t>
            </w:r>
          </w:p>
        </w:tc>
        <w:tc>
          <w:tcPr>
            <w:tcW w:w="3995" w:type="pct"/>
            <w:gridSpan w:val="5"/>
            <w:vAlign w:val="center"/>
          </w:tcPr>
          <w:p>
            <w:pPr>
              <w:widowControl w:val="0"/>
              <w:spacing w:after="0"/>
              <w:ind w:right="480" w:firstLine="5760" w:firstLineChars="240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注册地址</w:t>
            </w:r>
          </w:p>
        </w:tc>
        <w:tc>
          <w:tcPr>
            <w:tcW w:w="3995" w:type="pct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成立时间</w:t>
            </w:r>
          </w:p>
        </w:tc>
        <w:tc>
          <w:tcPr>
            <w:tcW w:w="1557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注册资本（万元）</w:t>
            </w:r>
          </w:p>
        </w:tc>
        <w:tc>
          <w:tcPr>
            <w:tcW w:w="122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法定代表人</w:t>
            </w:r>
          </w:p>
        </w:tc>
        <w:tc>
          <w:tcPr>
            <w:tcW w:w="1557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统一社会信用代码</w:t>
            </w:r>
          </w:p>
        </w:tc>
        <w:tc>
          <w:tcPr>
            <w:tcW w:w="122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单位性质</w:t>
            </w:r>
          </w:p>
        </w:tc>
        <w:tc>
          <w:tcPr>
            <w:tcW w:w="1997" w:type="pct"/>
            <w:gridSpan w:val="3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国有企业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民营企业</w:t>
            </w:r>
          </w:p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三资企业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其他</w:t>
            </w:r>
          </w:p>
        </w:tc>
        <w:tc>
          <w:tcPr>
            <w:tcW w:w="1998" w:type="pct"/>
            <w:gridSpan w:val="2"/>
            <w:vAlign w:val="center"/>
          </w:tcPr>
          <w:p>
            <w:pPr>
              <w:pStyle w:val="2"/>
              <w:ind w:left="0" w:leftChars="0" w:firstLine="0" w:firstLineChars="0"/>
              <w:rPr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F06F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市外企业若入选牵引单位是否有意愿三个月内在江门注册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04" w:type="pct"/>
            <w:vMerge w:val="restar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单位联系人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06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122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04" w:type="pct"/>
            <w:vMerge w:val="continue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061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邮箱</w:t>
            </w:r>
          </w:p>
        </w:tc>
        <w:tc>
          <w:tcPr>
            <w:tcW w:w="122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员工数量（人）</w:t>
            </w:r>
          </w:p>
        </w:tc>
        <w:tc>
          <w:tcPr>
            <w:tcW w:w="1557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拟安排本项目服务团队人数</w:t>
            </w:r>
          </w:p>
        </w:tc>
        <w:tc>
          <w:tcPr>
            <w:tcW w:w="1229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  <w:jc w:val="center"/>
        </w:trPr>
        <w:tc>
          <w:tcPr>
            <w:tcW w:w="1004" w:type="pct"/>
            <w:vAlign w:val="center"/>
          </w:tcPr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近两年营业收入</w:t>
            </w:r>
          </w:p>
        </w:tc>
        <w:tc>
          <w:tcPr>
            <w:tcW w:w="3995" w:type="pct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202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年营业收入：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万元</w:t>
            </w: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2022年营业收入：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  <w:jc w:val="center"/>
        </w:trPr>
        <w:tc>
          <w:tcPr>
            <w:tcW w:w="1004" w:type="pct"/>
            <w:vAlign w:val="center"/>
          </w:tcPr>
          <w:p>
            <w:pPr>
              <w:widowControl/>
              <w:suppressAutoHyphens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单位简介</w:t>
            </w: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32"/>
                <w:lang w:val="en-US" w:eastAsia="zh-CN" w:bidi="ar-SA"/>
              </w:rPr>
              <w:t>（500字以内）</w:t>
            </w:r>
          </w:p>
        </w:tc>
        <w:tc>
          <w:tcPr>
            <w:tcW w:w="3995" w:type="pct"/>
            <w:gridSpan w:val="5"/>
          </w:tcPr>
          <w:p>
            <w:pPr>
              <w:widowControl w:val="0"/>
              <w:spacing w:after="0"/>
              <w:ind w:firstLine="0" w:firstLineChars="0"/>
              <w:jc w:val="lef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（发展历程、主营产品等方面概况，500字内）</w:t>
            </w:r>
          </w:p>
          <w:p>
            <w:pPr>
              <w:widowControl w:val="0"/>
              <w:spacing w:after="0"/>
              <w:ind w:firstLine="0" w:firstLineChars="0"/>
              <w:jc w:val="left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</w:tr>
    </w:tbl>
    <w:tbl>
      <w:tblPr>
        <w:tblStyle w:val="7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3215"/>
        <w:gridCol w:w="2200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二、申报类型基本情况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如申报多个细分行业（含愿意调剂的其他行业），每个细分行业各自填写，可复制表格。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意向细分行业（一行业一表）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五金及不锈钢制品行业  </w:t>
            </w:r>
            <w:r>
              <w:rPr>
                <w:rFonts w:ascii="仿宋_GB2312" w:hAnsi="黑体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摩托车及零配件制造业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造纸及纸制品业            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新一代电子信息产业 </w:t>
            </w:r>
            <w:r>
              <w:rPr>
                <w:rFonts w:ascii="仿宋_GB2312" w:hAnsi="黑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小家电制造业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widowControl/>
              <w:suppressAutoHyphens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申报类型</w:t>
            </w:r>
          </w:p>
          <w:p>
            <w:pPr>
              <w:widowControl/>
              <w:suppressAutoHyphens/>
              <w:adjustRightInd w:val="0"/>
              <w:snapToGrid w:val="0"/>
              <w:jc w:val="center"/>
              <w:textAlignment w:val="center"/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（二选一填写）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uppressAutoHyphens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供应链模式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tabs>
                <w:tab w:val="left" w:pos="312"/>
              </w:tabs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选择的数字化集成服务企业：</w:t>
            </w: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  <w:t>（此栏可根据情况向下拓展）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企业数字化水平评测级别：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3.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企业数字化建设情况（已应用哪些数字化系统）：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4.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企业所在的细分行业供应链情况（描述企业商业订单情况、供应链体系及现有供应链合作伙伴等情况）：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5.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 xml:space="preserve"> 是否已有数字化转型项目获得市级及以上认定：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是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                                 </w:t>
            </w:r>
            <w:r>
              <w:rPr>
                <w:rFonts w:hint="eastAsia" w:ascii="Times New Roman" w:hAnsi="Times New Roman" w:eastAsia="仿宋_GB2312"/>
                <w:sz w:val="24"/>
                <w:szCs w:val="32"/>
                <w:u w:val="single"/>
              </w:rPr>
              <w:t>（填写项目名称）</w:t>
            </w:r>
          </w:p>
          <w:p>
            <w:pPr>
              <w:suppressAutoHyphens/>
              <w:adjustRightInd w:val="0"/>
              <w:snapToGrid w:val="0"/>
              <w:spacing w:line="360" w:lineRule="auto"/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widowControl w:val="0"/>
              <w:spacing w:after="0"/>
              <w:ind w:firstLine="300" w:firstLineChars="100"/>
              <w:jc w:val="center"/>
              <w:rPr>
                <w:rFonts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uppressAutoHyphens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产业链模式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 w:val="0"/>
              <w:tabs>
                <w:tab w:val="left" w:pos="312"/>
              </w:tabs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选择的数字化集成服务企业：</w:t>
            </w: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  <w:p>
            <w:pPr>
              <w:widowControl w:val="0"/>
              <w:spacing w:after="0"/>
              <w:ind w:firstLine="240" w:firstLineChars="100"/>
              <w:jc w:val="both"/>
              <w:rPr>
                <w:rFonts w:ascii="Calibri" w:hAnsi="Calibri" w:eastAsia="仿宋_GB2312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名称：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（加盖公章）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</w:pPr>
          </w:p>
          <w:p>
            <w:pPr>
              <w:widowControl w:val="0"/>
              <w:spacing w:after="0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30"/>
                <w:szCs w:val="20"/>
                <w:lang w:val="en-US" w:eastAsia="zh-CN" w:bidi="ar-SA"/>
              </w:rPr>
              <w:t>（此栏可根据情况向下拓展）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已服务申报细分行业的江门案例数量：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家</w:t>
            </w:r>
          </w:p>
          <w:p>
            <w:pPr>
              <w:suppressAutoHyphens/>
              <w:adjustRightInd w:val="0"/>
              <w:snapToGrid w:val="0"/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3.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申报的细分行业产业链情况（描述所在行业上下游中小企业数字化转型、牵引单位实施能力和行业生态等情况）：</w:t>
            </w:r>
          </w:p>
          <w:p>
            <w:pPr>
              <w:widowControl w:val="0"/>
              <w:spacing w:after="0"/>
              <w:ind w:firstLine="0" w:firstLineChars="0"/>
              <w:jc w:val="both"/>
              <w:rPr>
                <w:rFonts w:ascii="Calibri" w:hAnsi="Calibri" w:eastAsia="宋体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Calibri" w:hAnsi="Calibri" w:eastAsia="宋体" w:cs="Times New Roman"/>
                <w:kern w:val="2"/>
                <w:sz w:val="30"/>
                <w:szCs w:val="20"/>
                <w:u w:val="single"/>
                <w:lang w:val="en-US" w:eastAsia="zh-CN" w:bidi="ar-SA"/>
              </w:rPr>
              <w:t xml:space="preserve">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4.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是否已入</w:t>
            </w:r>
            <w:r>
              <w:rPr>
                <w:rFonts w:hint="eastAsia" w:ascii="Times New Roman" w:hAnsi="Times New Roman" w:eastAsia="仿宋_GB2312"/>
                <w:sz w:val="24"/>
                <w:szCs w:val="32"/>
                <w:lang w:eastAsia="zh-CN"/>
              </w:rPr>
              <w:t>广东省或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江门市制造业数字化转型产业生态供给资源池：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 xml:space="preserve">是 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否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5.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是否已获得市级及以上产业集群数字化转型牵头单位的认定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 xml:space="preserve">是 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sym w:font="Wingdings" w:char="F06F"/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uppressAutoHyphens/>
              <w:adjustRightInd w:val="0"/>
              <w:snapToGrid w:val="0"/>
              <w:textAlignment w:val="center"/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牵引支持中小企业数字化转型的目标数量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1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实施第一年数量：</w:t>
            </w:r>
            <w:r>
              <w:rPr>
                <w:rFonts w:hint="eastAsia" w:ascii="Times New Roman" w:hAnsi="Times New Roman" w:eastAsia="仿宋_GB2312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家</w:t>
            </w:r>
          </w:p>
          <w:p>
            <w:pPr>
              <w:suppressAutoHyphens/>
              <w:adjustRightInd w:val="0"/>
              <w:snapToGrid w:val="0"/>
              <w:spacing w:line="360" w:lineRule="auto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2</w:t>
            </w:r>
            <w:r>
              <w:rPr>
                <w:rFonts w:ascii="Times New Roman" w:hAnsi="Times New Roman" w:eastAsia="仿宋_GB2312"/>
                <w:sz w:val="24"/>
                <w:szCs w:val="32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实施第二年数量：</w:t>
            </w:r>
            <w:r>
              <w:rPr>
                <w:rFonts w:hint="eastAsia" w:ascii="Times New Roman" w:hAnsi="Times New Roman" w:eastAsia="仿宋_GB2312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家</w:t>
            </w:r>
          </w:p>
          <w:p>
            <w:pPr>
              <w:suppressAutoHyphens/>
              <w:adjustRightInd w:val="0"/>
              <w:snapToGrid w:val="0"/>
              <w:spacing w:line="360" w:lineRule="auto"/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目标总数：</w:t>
            </w:r>
            <w:r>
              <w:rPr>
                <w:rFonts w:hint="eastAsia" w:ascii="Times New Roman" w:hAnsi="Times New Roman" w:eastAsia="仿宋_GB2312"/>
                <w:sz w:val="24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32"/>
                <w:u w:val="single"/>
              </w:rPr>
              <w:t xml:space="preserve">                   </w:t>
            </w: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uppressAutoHyphens/>
              <w:adjustRightInd w:val="0"/>
              <w:snapToGrid w:val="0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数字化转型服务类别（可多选）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□数字化咨询服务    □网络通信服务     □软件和模型开发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□数据分析服务      □系统集成服务     □云服务和云应用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□安全防护服务      □平台开发服务     □智能硬件产品及服务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uppressAutoHyphens/>
              <w:adjustRightInd w:val="0"/>
              <w:snapToGrid w:val="0"/>
              <w:textAlignment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32"/>
              </w:rPr>
              <w:t>软件服务（可多选）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研发设计类：□CAD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□CAE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□CAPP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□CAM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ind w:firstLine="1440" w:firstLineChars="60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□数字孪生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生产制造类：□MES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□APS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□PLM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□PDM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质量管理类：□QMS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□LIMS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ind w:left="1440" w:hanging="1440" w:hangingChars="60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运营管理类：□ERP  □CRM  □SRM  □SCM  □OA  □BI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FMIS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ind w:firstLine="1440" w:firstLineChars="60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仓储物流类：□BOM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□WMS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□其他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三、申报单位及拟合作的数字化集成服务企业产品服务情况</w:t>
            </w:r>
          </w:p>
          <w:p>
            <w:pPr>
              <w:suppressAutoHyphens/>
              <w:adjustRightInd w:val="0"/>
              <w:snapToGrid w:val="0"/>
              <w:spacing w:before="62" w:beforeLines="2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（如申报多个细分行业，每个细分行业各自填写，可复制表格）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现有“小快轻准”产品总数量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□20个以下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□20-50个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□50个以上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现有产品已覆盖的业务环节（可多选）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□研发设计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□生产制造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□供应链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</w:p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□销售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□服务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□信息安全</w:t>
            </w:r>
          </w:p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□数据管理 □其他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自建或共建工业互联网平台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跨行业跨领域服务平台</w:t>
            </w:r>
          </w:p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行业级应用平台</w:t>
            </w:r>
          </w:p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企业级应用平台</w:t>
            </w:r>
          </w:p>
          <w:p>
            <w:pPr>
              <w:suppressAutoHyphens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专业型平台</w:t>
            </w:r>
          </w:p>
          <w:p>
            <w:pPr>
              <w:suppressAutoHyphens/>
              <w:adjustRightInd w:val="0"/>
              <w:snapToGrid w:val="0"/>
              <w:spacing w:line="360" w:lineRule="auto"/>
              <w:jc w:val="left"/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无自建或共建工业互联网平台</w:t>
            </w:r>
          </w:p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其他：_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_________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拟开发“小快轻准”产品数量</w:t>
            </w:r>
          </w:p>
        </w:tc>
        <w:tc>
          <w:tcPr>
            <w:tcW w:w="3215" w:type="dxa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个</w:t>
            </w:r>
            <w: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2200" w:type="dxa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已纳入国家信创产品目录的产品数量</w:t>
            </w:r>
          </w:p>
        </w:tc>
        <w:tc>
          <w:tcPr>
            <w:tcW w:w="2098" w:type="dxa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仿宋_GB2312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产品定价折扣优惠幅度（产业链模式填写）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平均优惠幅度不少于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widowControl w:val="0"/>
              <w:spacing w:after="0"/>
              <w:ind w:firstLine="0" w:firstLineChars="0"/>
              <w:jc w:val="both"/>
              <w:rPr>
                <w:rFonts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2"/>
                <w:sz w:val="30"/>
                <w:szCs w:val="20"/>
                <w:lang w:val="en-US" w:eastAsia="zh-CN" w:bidi="ar-SA"/>
              </w:rPr>
              <w:t>四、细分行业中小企业数字化转型工作方案</w:t>
            </w:r>
          </w:p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（如申报多个细分行业，每个细分行业各自填写，可复制表格）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聚焦所选细分行业，描述推进方案。（2000字以内）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一、痛点分析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五金及不锈钢制品行业中小企业数字化转型的关键痛点、需求场景分析。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二、实施方案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（一）工作目标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分阶段制定工作目标，包括但不限于被改造企业数量、改造后企业数字化水平、平台建设、“小快轻准”产品开发、行业转型典型/标杆案例、咨询诊断、人才培训会/人员数量、供需对接活动数量等。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（二）工作计划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根据工作目标，分阶段制定实施计划。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（三）实施路径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对照工作目标和计划，明确具体工作任务及实施路径。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三、合作伙伴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描述合作伙伴在该行业产品服务能力和经验，明确各方职责、分工安排、合作模式和工作机制等。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en-US" w:eastAsia="zh-CN" w:bidi="ar-SA"/>
              </w:rPr>
              <w:t>四、实施保障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480" w:firstLineChars="200"/>
              <w:jc w:val="both"/>
              <w:textAlignment w:val="auto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从组织机制、人员团队、要素资源、资金等方面描述中小企业数字化转型项目顺利推进的具体保障措施。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widowControl w:val="0"/>
              <w:spacing w:after="0" w:line="360" w:lineRule="auto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黑体" w:cs="Times New Roman"/>
                <w:b/>
                <w:kern w:val="2"/>
                <w:sz w:val="28"/>
                <w:szCs w:val="30"/>
                <w:lang w:val="en-US" w:eastAsia="zh-CN" w:bidi="ar-SA"/>
              </w:rPr>
              <w:t>项目责任承诺书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918" w:type="dxa"/>
            <w:gridSpan w:val="5"/>
            <w:vAlign w:val="center"/>
          </w:tcPr>
          <w:p>
            <w:pPr>
              <w:suppressAutoHyphens/>
              <w:adjustRightInd w:val="0"/>
              <w:snapToGrid w:val="0"/>
              <w:spacing w:line="360" w:lineRule="auto"/>
              <w:ind w:firstLine="48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公司承诺，递交的申报资料真实有效，如存在利用虚假资料瞒报、虚报等手段通过项目审核的，公司将承担相应的法律责任及后果。主动配合项目跟踪、检查、评价工作，自觉接受财政、审计、监察部门的监督检查。</w:t>
            </w:r>
          </w:p>
          <w:p>
            <w:pPr>
              <w:suppressAutoHyphens/>
              <w:adjustRightInd w:val="0"/>
              <w:snapToGrid w:val="0"/>
              <w:spacing w:line="360" w:lineRule="auto"/>
              <w:ind w:firstLine="48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uppressAutoHyphens/>
              <w:adjustRightInd w:val="0"/>
              <w:snapToGrid w:val="0"/>
              <w:spacing w:line="360" w:lineRule="auto"/>
              <w:ind w:firstLine="4555" w:firstLineChars="16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法定代表人（签字）：</w:t>
            </w:r>
          </w:p>
          <w:p>
            <w:pPr>
              <w:suppressAutoHyphens/>
              <w:adjustRightInd w:val="0"/>
              <w:snapToGrid w:val="0"/>
              <w:spacing w:line="360" w:lineRule="auto"/>
              <w:ind w:firstLine="4555" w:firstLineChars="1627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企业名称（盖章）：</w:t>
            </w:r>
          </w:p>
          <w:p>
            <w:pPr>
              <w:widowControl w:val="0"/>
              <w:spacing w:after="0" w:line="360" w:lineRule="auto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8"/>
                <w:szCs w:val="28"/>
                <w:lang w:val="en-US" w:eastAsia="zh-CN" w:bidi="ar-SA"/>
              </w:rPr>
              <w:t xml:space="preserve">                           </w:t>
            </w:r>
            <w:r>
              <w:rPr>
                <w:rFonts w:ascii="仿宋_GB2312" w:hAnsi="Calibri" w:eastAsia="仿宋_GB2312" w:cs="Times New Roman"/>
                <w:kern w:val="0"/>
                <w:sz w:val="28"/>
                <w:szCs w:val="28"/>
                <w:lang w:val="en-US" w:eastAsia="zh-CN" w:bidi="ar-SA"/>
              </w:rPr>
              <w:t xml:space="preserve">          </w:t>
            </w:r>
            <w:r>
              <w:rPr>
                <w:rFonts w:hint="eastAsia" w:ascii="仿宋_GB2312" w:hAnsi="Calibri" w:eastAsia="仿宋_GB2312" w:cs="Times New Roman"/>
                <w:kern w:val="0"/>
                <w:sz w:val="28"/>
                <w:szCs w:val="28"/>
                <w:lang w:val="en-US" w:eastAsia="zh-CN" w:bidi="ar-SA"/>
              </w:rPr>
              <w:t xml:space="preserve">  年 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DFD6CB0"/>
    <w:rsid w:val="4A1947CF"/>
    <w:rsid w:val="F73F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30"/>
      <w:szCs w:val="20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/>
    </w:pPr>
    <w:rPr>
      <w:szCs w:val="21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李明奇</cp:lastModifiedBy>
  <dcterms:modified xsi:type="dcterms:W3CDTF">2023-11-16T08:52:23Z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476CA8639C33569FDF1553653FC6AEC7</vt:lpwstr>
  </property>
</Properties>
</file>