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00" w:lineRule="exact"/>
        <w:ind w:left="0" w:leftChars="0" w:right="0" w:rightChars="0"/>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snapToGrid w:val="0"/>
        <w:spacing w:line="600" w:lineRule="exact"/>
        <w:ind w:left="0" w:leftChars="0" w:right="0" w:right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台山市</w:t>
      </w:r>
      <w:r>
        <w:rPr>
          <w:rFonts w:hint="eastAsia" w:ascii="宋体" w:hAnsi="宋体" w:eastAsia="宋体" w:cs="宋体"/>
          <w:b/>
          <w:bCs/>
          <w:sz w:val="44"/>
          <w:szCs w:val="44"/>
          <w:lang w:eastAsia="zh-CN"/>
        </w:rPr>
        <w:t>县域商业建设行动</w:t>
      </w:r>
      <w:r>
        <w:rPr>
          <w:rFonts w:hint="eastAsia" w:ascii="宋体" w:hAnsi="宋体" w:eastAsia="宋体" w:cs="宋体"/>
          <w:b/>
          <w:bCs/>
          <w:sz w:val="44"/>
          <w:szCs w:val="44"/>
          <w:lang w:val="en-US" w:eastAsia="zh-CN"/>
        </w:rPr>
        <w:t>项目和</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jc w:val="center"/>
        <w:textAlignment w:val="auto"/>
        <w:outlineLvl w:val="9"/>
        <w:rPr>
          <w:rFonts w:hint="eastAsia" w:ascii="黑体" w:hAnsi="黑体" w:eastAsia="黑体" w:cs="黑体"/>
          <w:i w:val="0"/>
          <w:iCs w:val="0"/>
          <w:caps w:val="0"/>
          <w:color w:val="333333"/>
          <w:spacing w:val="0"/>
          <w:sz w:val="27"/>
          <w:szCs w:val="27"/>
          <w:shd w:val="clear" w:fill="FFFFFF"/>
        </w:rPr>
      </w:pPr>
      <w:r>
        <w:rPr>
          <w:rFonts w:hint="eastAsia" w:ascii="宋体" w:hAnsi="宋体" w:eastAsia="宋体" w:cs="宋体"/>
          <w:b/>
          <w:bCs/>
          <w:sz w:val="44"/>
          <w:szCs w:val="44"/>
          <w:lang w:eastAsia="zh-CN"/>
        </w:rPr>
        <w:t>资金</w:t>
      </w:r>
      <w:r>
        <w:rPr>
          <w:rFonts w:hint="eastAsia" w:ascii="宋体" w:hAnsi="宋体" w:eastAsia="宋体" w:cs="宋体"/>
          <w:b/>
          <w:bCs/>
          <w:sz w:val="44"/>
          <w:szCs w:val="44"/>
        </w:rPr>
        <w:t>管理</w:t>
      </w:r>
      <w:r>
        <w:rPr>
          <w:rFonts w:hint="eastAsia" w:ascii="宋体" w:hAnsi="宋体" w:eastAsia="宋体" w:cs="宋体"/>
          <w:b/>
          <w:bCs/>
          <w:sz w:val="44"/>
          <w:szCs w:val="44"/>
          <w:lang w:eastAsia="zh-CN"/>
        </w:rPr>
        <w:t>办法</w:t>
      </w:r>
    </w:p>
    <w:p>
      <w:pPr>
        <w:bidi w:val="0"/>
        <w:ind w:firstLine="640" w:firstLineChars="20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加强和规范</w:t>
      </w:r>
      <w:r>
        <w:rPr>
          <w:rFonts w:hint="eastAsia" w:ascii="仿宋_GB2312" w:hAnsi="仿宋_GB2312" w:eastAsia="仿宋_GB2312" w:cs="仿宋_GB2312"/>
          <w:sz w:val="32"/>
          <w:szCs w:val="32"/>
          <w:lang w:val="en-US" w:eastAsia="zh-CN"/>
        </w:rPr>
        <w:t>台山市</w:t>
      </w:r>
      <w:r>
        <w:rPr>
          <w:rFonts w:hint="eastAsia" w:ascii="仿宋_GB2312" w:hAnsi="仿宋_GB2312" w:eastAsia="仿宋_GB2312" w:cs="仿宋_GB2312"/>
          <w:sz w:val="32"/>
          <w:szCs w:val="32"/>
        </w:rPr>
        <w:t>县域商业体系建设项目专项资金（以下简称“专项资金”）管理，提高资金使用效益，根据《</w:t>
      </w:r>
      <w:r>
        <w:rPr>
          <w:rFonts w:hint="eastAsia" w:ascii="仿宋_GB2312" w:hAnsi="仿宋_GB2312" w:eastAsia="仿宋_GB2312" w:cs="仿宋_GB2312"/>
          <w:sz w:val="32"/>
          <w:szCs w:val="32"/>
          <w:lang w:val="en-US" w:eastAsia="zh-CN"/>
        </w:rPr>
        <w:t>关于印发&lt;服务业发展专项资金管理办法&gt;的通知</w:t>
      </w:r>
      <w:r>
        <w:rPr>
          <w:rFonts w:hint="eastAsia" w:ascii="仿宋_GB2312" w:hAnsi="仿宋_GB2312" w:eastAsia="仿宋_GB2312" w:cs="仿宋_GB2312"/>
          <w:sz w:val="32"/>
          <w:szCs w:val="32"/>
        </w:rPr>
        <w:t>》（财建〔2019〕50号）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《财政部办公厅 商务部办公厅 国家乡村振兴局综合司关于支持实施县域商业建设行动的通知》（财办建〔2022〕18号）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广东省商务厅等3部门关于印发县域商业建设行动项目和资金管理办法</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粤商务建函</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号）等文件要求，</w:t>
      </w:r>
      <w:r>
        <w:rPr>
          <w:rFonts w:hint="eastAsia" w:ascii="仿宋_GB2312" w:hAnsi="仿宋_GB2312" w:eastAsia="仿宋_GB2312" w:cs="仿宋_GB2312"/>
          <w:sz w:val="32"/>
          <w:szCs w:val="32"/>
          <w:lang w:val="en-US" w:eastAsia="zh-CN"/>
        </w:rPr>
        <w:t>结合广东省资金使用和项目管理有关工作要求，</w:t>
      </w:r>
      <w:r>
        <w:rPr>
          <w:rFonts w:hint="eastAsia" w:ascii="仿宋_GB2312" w:hAnsi="仿宋_GB2312" w:eastAsia="仿宋_GB2312" w:cs="仿宋_GB2312"/>
          <w:sz w:val="32"/>
          <w:szCs w:val="32"/>
        </w:rPr>
        <w:t>制定本办法。</w:t>
      </w:r>
    </w:p>
    <w:p>
      <w:pPr>
        <w:bidi w:val="0"/>
        <w:jc w:val="center"/>
        <w:rPr>
          <w:rFonts w:hint="eastAsia" w:ascii="黑体" w:hAnsi="黑体" w:eastAsia="黑体" w:cs="黑体"/>
          <w:sz w:val="32"/>
          <w:szCs w:val="32"/>
        </w:rPr>
      </w:pPr>
      <w:r>
        <w:rPr>
          <w:rFonts w:hint="eastAsia" w:ascii="黑体" w:hAnsi="黑体" w:eastAsia="黑体" w:cs="黑体"/>
          <w:sz w:val="32"/>
          <w:szCs w:val="32"/>
        </w:rPr>
        <w:t>第一章</w:t>
      </w:r>
      <w:r>
        <w:rPr>
          <w:rFonts w:hint="default" w:ascii="黑体" w:hAnsi="黑体" w:eastAsia="黑体" w:cs="黑体"/>
          <w:sz w:val="32"/>
          <w:szCs w:val="32"/>
          <w:lang w:val="en-US"/>
        </w:rPr>
        <w:t xml:space="preserve">  </w:t>
      </w:r>
      <w:r>
        <w:rPr>
          <w:rFonts w:hint="eastAsia" w:ascii="黑体" w:hAnsi="黑体" w:eastAsia="黑体" w:cs="黑体"/>
          <w:sz w:val="32"/>
          <w:szCs w:val="32"/>
        </w:rPr>
        <w:t>总则</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w:t>
      </w:r>
      <w:bookmarkStart w:id="0" w:name="_GoBack"/>
      <w:bookmarkEnd w:id="0"/>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台山市</w:t>
      </w:r>
      <w:r>
        <w:rPr>
          <w:rFonts w:hint="eastAsia" w:ascii="仿宋_GB2312" w:hAnsi="仿宋_GB2312" w:eastAsia="仿宋_GB2312" w:cs="仿宋_GB2312"/>
          <w:sz w:val="32"/>
          <w:szCs w:val="32"/>
        </w:rPr>
        <w:t>县域商业体系建设专项资金（以下简称“专项资金”），是指</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县域商业体系的</w:t>
      </w:r>
      <w:r>
        <w:rPr>
          <w:rFonts w:hint="eastAsia" w:ascii="仿宋_GB2312" w:hAnsi="仿宋_GB2312" w:eastAsia="仿宋_GB2312" w:cs="仿宋_GB2312"/>
          <w:sz w:val="32"/>
          <w:szCs w:val="32"/>
          <w:lang w:val="en-US" w:eastAsia="zh-CN"/>
        </w:rPr>
        <w:t>财政专项</w:t>
      </w:r>
      <w:r>
        <w:rPr>
          <w:rFonts w:hint="eastAsia" w:ascii="仿宋_GB2312" w:hAnsi="仿宋_GB2312" w:eastAsia="仿宋_GB2312" w:cs="仿宋_GB2312"/>
          <w:sz w:val="32"/>
          <w:szCs w:val="32"/>
        </w:rPr>
        <w:t>资金。</w:t>
      </w:r>
    </w:p>
    <w:p>
      <w:pPr>
        <w:bidi w:val="0"/>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二</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lang w:val="en-US"/>
        </w:rPr>
        <w:t xml:space="preserve">  </w:t>
      </w:r>
      <w:r>
        <w:rPr>
          <w:rFonts w:hint="eastAsia" w:ascii="仿宋_GB2312" w:hAnsi="仿宋_GB2312" w:eastAsia="仿宋_GB2312" w:cs="仿宋_GB2312"/>
          <w:sz w:val="32"/>
          <w:szCs w:val="32"/>
          <w:highlight w:val="none"/>
          <w:lang w:val="en-US" w:eastAsia="zh-CN"/>
        </w:rPr>
        <w:t>市科工商务局</w:t>
      </w:r>
      <w:r>
        <w:rPr>
          <w:rFonts w:hint="eastAsia" w:ascii="仿宋_GB2312" w:hAnsi="仿宋_GB2312" w:eastAsia="仿宋_GB2312" w:cs="仿宋_GB2312"/>
          <w:sz w:val="32"/>
          <w:szCs w:val="32"/>
          <w:highlight w:val="none"/>
        </w:rPr>
        <w:t>负责项目的业务指导、日常监管、绩效评价和验收项目，</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财政局负责专项资金下达、拨付、协助绩效管理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监督检查</w:t>
      </w:r>
      <w:r>
        <w:rPr>
          <w:rFonts w:hint="eastAsia" w:ascii="仿宋_GB2312" w:hAnsi="仿宋_GB2312" w:eastAsia="仿宋_GB2312" w:cs="仿宋_GB2312"/>
          <w:sz w:val="32"/>
          <w:szCs w:val="32"/>
          <w:highlight w:val="none"/>
          <w:lang w:eastAsia="zh-CN"/>
        </w:rPr>
        <w:t>和验收项目</w:t>
      </w:r>
      <w:r>
        <w:rPr>
          <w:rFonts w:hint="eastAsia" w:ascii="仿宋_GB2312" w:hAnsi="仿宋_GB2312" w:eastAsia="仿宋_GB2312" w:cs="仿宋_GB2312"/>
          <w:sz w:val="32"/>
          <w:szCs w:val="32"/>
          <w:highlight w:val="none"/>
        </w:rPr>
        <w:t>，市农业农村局负责协助绩效管理、监督检查和验收项目。</w:t>
      </w:r>
    </w:p>
    <w:p>
      <w:pPr>
        <w:bidi w:val="0"/>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rPr>
        <w:t xml:space="preserve">  </w:t>
      </w:r>
      <w:r>
        <w:rPr>
          <w:rFonts w:hint="eastAsia" w:ascii="黑体" w:hAnsi="黑体" w:eastAsia="黑体" w:cs="黑体"/>
          <w:sz w:val="32"/>
          <w:szCs w:val="32"/>
          <w:lang w:val="en-US" w:eastAsia="zh-CN"/>
        </w:rPr>
        <w:t>专项资金</w:t>
      </w:r>
      <w:r>
        <w:rPr>
          <w:rFonts w:hint="eastAsia" w:ascii="黑体" w:hAnsi="黑体" w:eastAsia="黑体" w:cs="黑体"/>
          <w:sz w:val="32"/>
          <w:szCs w:val="32"/>
        </w:rPr>
        <w:t>支持</w:t>
      </w:r>
      <w:r>
        <w:rPr>
          <w:rFonts w:hint="eastAsia" w:ascii="黑体" w:hAnsi="黑体" w:eastAsia="黑体" w:cs="黑体"/>
          <w:sz w:val="32"/>
          <w:szCs w:val="32"/>
          <w:lang w:val="en-US" w:eastAsia="zh-CN"/>
        </w:rPr>
        <w:t>对象和支持方向</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专项资金的支持对象应在我市辖区范围内有实体、有实际运营、实际融入和推动台山经济民生发展，不支持中介机构、招标代理机构、培训机构等主营业务与县域商业建设行动关联不紧密的单位参与项目建设。</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专项资金支持方向</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（一）补齐县域商业基础设施短板。以人口相对聚集的乡镇为重点，</w:t>
      </w:r>
      <w:r>
        <w:rPr>
          <w:rFonts w:hint="eastAsia" w:ascii="仿宋_GB2312" w:hAnsi="仿宋_GB2312" w:eastAsia="仿宋_GB2312" w:cs="仿宋_GB2312"/>
          <w:sz w:val="32"/>
          <w:szCs w:val="32"/>
        </w:rPr>
        <w:t>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重点支持方向</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（二）完善县乡村三级物流配送体系。</w:t>
      </w:r>
      <w:r>
        <w:rPr>
          <w:rFonts w:hint="eastAsia" w:ascii="仿宋_GB2312" w:hAnsi="仿宋_GB2312" w:eastAsia="仿宋_GB2312" w:cs="仿宋_GB2312"/>
          <w:sz w:val="32"/>
          <w:szCs w:val="32"/>
          <w:lang w:val="en-US" w:eastAsia="zh-CN"/>
        </w:rPr>
        <w:t>发挥县城和乡镇物流枢纽作为，</w:t>
      </w:r>
      <w:r>
        <w:rPr>
          <w:rFonts w:hint="eastAsia" w:ascii="仿宋_GB2312" w:hAnsi="仿宋_GB2312" w:eastAsia="仿宋_GB2312" w:cs="仿宋_GB2312"/>
          <w:sz w:val="32"/>
          <w:szCs w:val="32"/>
        </w:rPr>
        <w:t>支持建设改造一批县级物流配送中心和乡镇快递物流站点，完善仓储、分拣、包装、装卸、运输、配送等设施，增强对乡村的辐射能力。整合县域邮政、供销、快递、商贸等物流资源，发挥连锁商贸流通企业自建物流优势，开展日用消费品、农资下乡和农产品进城等物流快递共同配送服务，降低物流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重点支持方向</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改善优化县域消费渠道。引导大型流通企业下沉供应链，布局一批县域前置仓、物流仓储等设施，提供直供直销、集中采购、统一配送、库存管理等服务，让农民直购好产品、新产品。鼓励本地商贸流通企业组建联合采购平台，加大农村地区商品投放力度。发展购物、餐饮、亲子、娱乐、农资等多种业态，承接市民下乡和农民进城消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重点支持方向</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增强农村产品上行动能。引导商贸、电商、快递、物流企业围绕农村产品上行，建设分拣、预冷、初加工、配送等商品化处理设施，加强标准和品牌应用，提高农村产品商品转化率。整合现有县乡村电子商务服务网点，统筹产品开发、设计、营销、品牌等服务，拓宽农村产品上行渠道，提高农村电子商务应用水平</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提高生活服务供给质量。引导农村邮政、供销、电商、商贸流通企业从传统批发、零售向综合性服务转变，整合购物、订餐、家政、职介、租赁、同城配送等服务，提高社区、村镇生活服务的便捷性和服务质量。引导商贸流通、电子商务、生活服务与现代农业、乡村旅游、加工制造等特色产业跨界融合，增强服务业推动生产、促进流通、扩大消费的功能</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（六）推进绿色智能家电下乡。支持品牌影响力大、家电营销售后网络健全的大型流通企业以县城、乡镇为重点，改造提升家电销售网络、仓储配送中心、售后维修和家电回收服务网点。</w:t>
      </w:r>
    </w:p>
    <w:p>
      <w:pPr>
        <w:bidi w:val="0"/>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项目选择要求</w:t>
      </w:r>
    </w:p>
    <w:p>
      <w:pPr>
        <w:bidi w:val="0"/>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sz w:val="32"/>
          <w:szCs w:val="32"/>
          <w:lang w:val="en-US" w:eastAsia="zh-CN"/>
        </w:rPr>
        <w:t>关注本地县域流通方面的短板，结合申报支持方向，重点选择支持完善乡镇商贸流通设施、县乡镇村三级农村物流配送体系特别是镇村之间的物流配送体系，确保优质产品和服务顺畅下沉至农村地区；</w:t>
      </w:r>
    </w:p>
    <w:p>
      <w:pPr>
        <w:bidi w:val="0"/>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sz w:val="32"/>
          <w:szCs w:val="32"/>
          <w:lang w:val="en-US" w:eastAsia="zh-CN"/>
        </w:rPr>
        <w:t>不开展形式主义的、形象的、展示的项目，项目应切实回应解决本地农村居民对美好生活的实际需求。</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项目申报与资金分配</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资金使用具体步骤和要求</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建立台山市县域商业建设行动项目库。进一步完善项目库，建立项目动态调整机制，完善入库申报、项目清单、入库审核等文件材料；</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跟踪项目进展。市科工商务局牵头做好工作指导，协调推动解决项目开展中的问题，及时发现项目进程偏差，确保项目进度、资金使用等符合要求； </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提出验收申请。项目实施完成并取得发票后，实施单位委托第三方机构进行符合支持范围投入审计，向市科工商务局提出验收申请，提交验收材料；</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县级验收。县级应选定第三方机构对实施单位提交的验收申请材料进行验收审核。验收机构应在项目实施期内随时接受和处理验收申请。验收通过后向市级上报验收报告、项目验收材料、项目清单等复核材料； </w:t>
      </w:r>
    </w:p>
    <w:p>
      <w:pPr>
        <w:bidi w:val="0"/>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资金拨付。资金使用原则上直达基层，由县级拨付，对信誉良好、项目和资金管理制度落实到位的实施单位，可视情进行预拨付，在验收阶段进行清算。 </w:t>
      </w:r>
    </w:p>
    <w:p>
      <w:pPr>
        <w:bidi w:val="0"/>
        <w:ind w:firstLine="642" w:firstLineChars="200"/>
        <w:rPr>
          <w:rFonts w:hint="eastAsia" w:ascii="仿宋_GB2312" w:hAnsi="仿宋_GB2312" w:eastAsia="仿宋_GB2312" w:cs="仿宋_GB2312"/>
          <w:i w:val="0"/>
          <w:iCs w:val="0"/>
          <w:sz w:val="32"/>
          <w:szCs w:val="32"/>
          <w:highlight w:val="none"/>
        </w:rPr>
      </w:pPr>
      <w:r>
        <w:rPr>
          <w:rFonts w:hint="eastAsia" w:ascii="仿宋_GB2312" w:hAnsi="仿宋_GB2312" w:eastAsia="仿宋_GB2312" w:cs="仿宋_GB2312"/>
          <w:b/>
          <w:bCs/>
          <w:sz w:val="32"/>
          <w:szCs w:val="32"/>
          <w:highlight w:val="none"/>
          <w:lang w:val="en-US" w:eastAsia="zh-CN"/>
        </w:rPr>
        <w:t>第七条</w:t>
      </w:r>
      <w:r>
        <w:rPr>
          <w:rFonts w:hint="eastAsia" w:ascii="仿宋_GB2312" w:hAnsi="仿宋_GB2312" w:eastAsia="仿宋_GB2312" w:cs="仿宋_GB2312"/>
          <w:sz w:val="32"/>
          <w:szCs w:val="32"/>
          <w:highlight w:val="none"/>
          <w:lang w:val="en-US" w:eastAsia="zh-CN"/>
        </w:rPr>
        <w:t xml:space="preserve">  市科工商务局、市财政局和市农业农村局等有关单位要</w:t>
      </w:r>
      <w:r>
        <w:rPr>
          <w:rFonts w:hint="eastAsia" w:ascii="仿宋_GB2312" w:hAnsi="仿宋_GB2312" w:eastAsia="仿宋_GB2312" w:cs="仿宋_GB2312"/>
          <w:i w:val="0"/>
          <w:iCs w:val="0"/>
          <w:sz w:val="32"/>
          <w:szCs w:val="32"/>
          <w:highlight w:val="none"/>
          <w:lang w:val="en-US" w:eastAsia="zh-CN"/>
        </w:rPr>
        <w:t>严格、认真审核项目材料，确保支出合规、票据规范、不出纰漏，经得起检查。</w:t>
      </w:r>
    </w:p>
    <w:p>
      <w:pPr>
        <w:bidi w:val="0"/>
        <w:jc w:val="center"/>
        <w:rPr>
          <w:rFonts w:hint="eastAsia" w:ascii="黑体" w:hAnsi="黑体" w:eastAsia="黑体" w:cs="黑体"/>
          <w:sz w:val="32"/>
          <w:szCs w:val="32"/>
        </w:rPr>
      </w:pPr>
      <w:r>
        <w:rPr>
          <w:rFonts w:hint="eastAsia" w:ascii="黑体" w:hAnsi="黑体" w:eastAsia="黑体" w:cs="黑体"/>
          <w:sz w:val="32"/>
          <w:szCs w:val="32"/>
          <w:lang w:val="en-US" w:eastAsia="zh-CN"/>
        </w:rPr>
        <w:t>第四章  项目和资金管理</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项目入库。项目入库申报应至少包含如下内容：支持对象要求、支持方向、支持方式、支持时间、不支持支出范围、申报程序、申报材料要求。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入库审核。市科工商务局应牵头组织对申报项目进行入库审核，确保符合工作意图、支持方向和资金使用管理要求。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对入库项目进行现场核查。核实项目真实性，评估实施现场是否与入库申报材料一致。现场核查可委托镇街一级开展。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备案。市科工商局应向市级商务部门备案项目，以便上级可跟踪项目具体落实情况。备案可采取抄送件、报送件等方式。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验收。建立项目验收机制，选定日常验收机构，在实施项目完成后可随时、不定期地接受实施单位的验收申请，以提高工作效率，加快资金拨付流程。应要求实施单位在验收时提交会计师事务所对资金投入的审计报告。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项目的调整和取消。新增项目的，应完善相关项目入库程序。在各类检查中认为不符合支持方向的，或实施内容确有必要进行调整的，可予调整或取消。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专项资金的支持范围。不支持征地拆迁、罚款、捐款、赞助、投资、偿还债务、发工资、提取工作经费。相关明显与乡村建设工作意图无关的支出，不应使用财政资金进行冲抵。</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支持比例和金额。不超过符合支持范围支出的40%。不超过项目申请支持金额。每个项目支持金额不超过200万元。</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资金的回收。对已落实支持资金的项目单位，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后续检查发现问题的，予以追回。在本级项目主管部门作出回收资金的决定后，应督促项目单位及时完成回收。对拒不清退财政资金的，依法采取行政强制手段追缴，同时落实联合惩戒机制。</w:t>
      </w:r>
    </w:p>
    <w:p>
      <w:pPr>
        <w:bidi w:val="0"/>
        <w:jc w:val="center"/>
        <w:rPr>
          <w:rFonts w:hint="eastAsia" w:ascii="黑体" w:hAnsi="黑体" w:eastAsia="黑体" w:cs="黑体"/>
          <w:sz w:val="32"/>
          <w:szCs w:val="32"/>
        </w:rPr>
      </w:pPr>
      <w:r>
        <w:rPr>
          <w:rFonts w:hint="eastAsia" w:ascii="黑体" w:hAnsi="黑体" w:eastAsia="黑体" w:cs="黑体"/>
          <w:sz w:val="32"/>
          <w:szCs w:val="32"/>
          <w:lang w:val="en-US" w:eastAsia="zh-CN"/>
        </w:rPr>
        <w:t>第五章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lang w:val="en-US" w:eastAsia="zh-CN"/>
        </w:rPr>
        <w:t xml:space="preserve"> 项目跟踪、宣传和推广</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市科工商务局应跟踪、统计并上报财政资金实际支出进度，比对项目下达文件、资金支出凭证等材料，确保实际支出进度的真实性和准确性，有关情况及时报告。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各有关部门要强化对项目建设的管理，建立日常项目跟踪机制，完善项目管理、资金管理等各项工作制度，及时指导和协调解决项目实施中遇到的困难和问题，确保项目按期保质完成，加强财政资金对项目实施的推动引领、示范带动作用。对中央资金投入形成固定资产的，应明确权属和管理服务部门，增强可持续经营能力。对确须调整实施内容或延长项目实施期限的，要认真核实，及时审批。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各有关部门单位要督促项目单位按实施计划加快执行进度，严格按照财务规章制度和会计核算办法进行账务处理，及时取得支持期限内票据，以免延误验收进程。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市科工商务局要跟踪项目进展及补助资金使用情况，建立项目及资金管理情况台账，做到资料详实、手续齐备、程序合规、查验方便。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市科工商务局要及时跟进项目的进展情况，建立日常监督检查机制，及时指导项目单位纠正执行中的偏差，调整、暂缓或停止偏差严重的项目，确保绩效目标如期保质完成。对所有项目均应落实日常的跟踪检查。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sz w:val="32"/>
          <w:szCs w:val="32"/>
          <w:lang w:val="en-US" w:eastAsia="zh-CN"/>
        </w:rPr>
        <w:t>第二十二条</w:t>
      </w:r>
      <w:r>
        <w:rPr>
          <w:rFonts w:hint="eastAsia" w:ascii="仿宋_GB2312" w:hAnsi="仿宋_GB2312" w:eastAsia="仿宋_GB2312" w:cs="仿宋_GB2312"/>
          <w:sz w:val="32"/>
          <w:szCs w:val="32"/>
          <w:lang w:val="en-US" w:eastAsia="zh-CN"/>
        </w:rPr>
        <w:t xml:space="preserve">  市科工商务局要重视统计和监测工作，加强对各项绩效目标完成度的跟踪统计，完善对县域流通体系发展相关指标如重点商贸流通企业、县域流通网点、商贸中心、县镇村物流配送点设置和数量、业务量等方面指标的统计监测，为县域发展和政策制订提供量化依据。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各有关部门单位要重视项目实施成效宣传和总结工作，多渠道宣传工作成效，引导更多企业及相关主体积极参与县域流通发展事业，总结做法和亮点，形成可复制、可推广的创新模式。应督促项目单位在醒目位置设置国家县域商业建设行动相关推广名称及标识。</w:t>
      </w:r>
    </w:p>
    <w:p>
      <w:pPr>
        <w:bidi w:val="0"/>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第六章 </w:t>
      </w:r>
      <w:r>
        <w:rPr>
          <w:rFonts w:hint="default" w:ascii="黑体" w:hAnsi="黑体" w:eastAsia="黑体" w:cs="黑体"/>
          <w:sz w:val="32"/>
          <w:szCs w:val="32"/>
          <w:lang w:val="en-US" w:eastAsia="zh-CN"/>
        </w:rPr>
        <w:t xml:space="preserve"> </w:t>
      </w:r>
      <w:r>
        <w:rPr>
          <w:rFonts w:hint="eastAsia" w:ascii="黑体" w:hAnsi="黑体" w:eastAsia="黑体" w:cs="黑体"/>
          <w:sz w:val="32"/>
          <w:szCs w:val="32"/>
          <w:lang w:val="en-US" w:eastAsia="zh-CN"/>
        </w:rPr>
        <w:t>项目承担单位</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xml:space="preserve">  各项目承担单位应严格落实项目申报指南、下达文件各项要求，确保项目实施方向合规、票据真实，对获得的专项资金应专款专用、单独核算，不得弄虚作假、充数做账等方式套取财政专项资金。对于违反有关财政资金使用规定要求的，将视情取消扶持资格，收回扶持资金，列入财政补助黑名单，落实惩戒机制，不得再次申请任何财政资金支持。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各项目承担单位要加快申报建设内容实施进度，及时取得建设期内发票，确需调整实施内容或延长实施期限的，应及时向示范地区商务部门提出申请。在项目建设完成后，及时安排第三方会计师事务所进行资金投入审计，出具审计报告后及时向示范地区商务主管部门提请验收。审计报告应详细罗列符合支持范围的支出发票清单，以便进行验收审核。 </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sz w:val="32"/>
          <w:szCs w:val="32"/>
          <w:lang w:val="en-US" w:eastAsia="zh-CN"/>
        </w:rPr>
        <w:t xml:space="preserve">  各项目承担单位要履行财政资金支持相关的工作责任，按要求报送项目实施效果数据，配合开展资金使用绩效评价。要配合开展工作宣传，按要求提供相关宣传材料，如有要求，应在项目醒目位置设置国家县域商业建设行动相关推广名称及标识（提出验收申请前应设置完成）。 </w:t>
      </w:r>
    </w:p>
    <w:p>
      <w:pPr>
        <w:bidi w:val="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第七章  附 则</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本办法由市科工商务局负责解释。</w:t>
      </w:r>
    </w:p>
    <w:p>
      <w:pPr>
        <w:bidi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第二十八条</w:t>
      </w:r>
      <w:r>
        <w:rPr>
          <w:rFonts w:hint="eastAsia" w:ascii="仿宋_GB2312" w:hAnsi="仿宋_GB2312" w:eastAsia="仿宋_GB2312" w:cs="仿宋_GB2312"/>
          <w:sz w:val="32"/>
          <w:szCs w:val="32"/>
          <w:lang w:val="en-US" w:eastAsia="zh-CN"/>
        </w:rPr>
        <w:t xml:space="preserve">  本办法自印发之日起施行，内容有调整的以调整后的为准。</w:t>
      </w:r>
    </w:p>
    <w:p>
      <w:pPr>
        <w:bidi w:val="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812D1"/>
    <w:rsid w:val="12EF154A"/>
    <w:rsid w:val="18733172"/>
    <w:rsid w:val="19A818DB"/>
    <w:rsid w:val="1AD140AA"/>
    <w:rsid w:val="1C013FAC"/>
    <w:rsid w:val="1C8A0A74"/>
    <w:rsid w:val="1FFF9340"/>
    <w:rsid w:val="22047E75"/>
    <w:rsid w:val="24513E7C"/>
    <w:rsid w:val="25CE26A5"/>
    <w:rsid w:val="2E1745E2"/>
    <w:rsid w:val="310739F7"/>
    <w:rsid w:val="3CA85340"/>
    <w:rsid w:val="3FFF305C"/>
    <w:rsid w:val="489C2C61"/>
    <w:rsid w:val="4FF3688F"/>
    <w:rsid w:val="527C0B8E"/>
    <w:rsid w:val="56BE0A57"/>
    <w:rsid w:val="5AE67C82"/>
    <w:rsid w:val="5C573F0C"/>
    <w:rsid w:val="5D3E5D55"/>
    <w:rsid w:val="5FBB2F31"/>
    <w:rsid w:val="5FE37962"/>
    <w:rsid w:val="6A18561C"/>
    <w:rsid w:val="7A6B091E"/>
    <w:rsid w:val="B6B666A5"/>
    <w:rsid w:val="BA7B23C6"/>
    <w:rsid w:val="BE577E50"/>
    <w:rsid w:val="E7EF784B"/>
    <w:rsid w:val="FAFF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2023-07-16T03:01:00Z</dcterms:created>
  <dc:creator>ASUS</dc:creator>
  <cp:lastModifiedBy>greatwall</cp:lastModifiedBy>
  <dcterms:modified xsi:type="dcterms:W3CDTF">2023-09-05T17:22:39Z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F12D4BE354F3480591918B2876A8A32E</vt:lpwstr>
  </property>
</Properties>
</file>