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291"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648"/>
        <w:gridCol w:w="696"/>
        <w:gridCol w:w="936"/>
        <w:gridCol w:w="1514"/>
        <w:gridCol w:w="2238"/>
        <w:gridCol w:w="1823"/>
        <w:gridCol w:w="1256"/>
        <w:gridCol w:w="1369"/>
        <w:gridCol w:w="432"/>
        <w:gridCol w:w="640"/>
        <w:gridCol w:w="656"/>
        <w:gridCol w:w="592"/>
        <w:gridCol w:w="352"/>
        <w:gridCol w:w="352"/>
        <w:gridCol w:w="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trPr>
        <w:tc>
          <w:tcPr>
            <w:tcW w:w="14291" w:type="dxa"/>
            <w:gridSpan w:val="16"/>
            <w:tcBorders>
              <w:top w:val="nil"/>
              <w:left w:val="nil"/>
              <w:bottom w:val="single" w:color="auto" w:sz="4" w:space="0"/>
              <w:right w:val="nil"/>
            </w:tcBorders>
            <w:shd w:val="clear" w:color="auto" w:fill="auto"/>
            <w:noWrap/>
            <w:vAlign w:val="center"/>
          </w:tcPr>
          <w:p>
            <w:pPr>
              <w:widowControl/>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rPr>
              <w:t>农村危房改造领域基层政务公开标准目录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419"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648"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过程</w:t>
            </w:r>
          </w:p>
        </w:tc>
        <w:tc>
          <w:tcPr>
            <w:tcW w:w="1632" w:type="dxa"/>
            <w:gridSpan w:val="2"/>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1514"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公开内容 </w:t>
            </w:r>
          </w:p>
        </w:tc>
        <w:tc>
          <w:tcPr>
            <w:tcW w:w="2238"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1823"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1256" w:type="dxa"/>
            <w:vMerge w:val="restart"/>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1369" w:type="dxa"/>
            <w:vMerge w:val="restart"/>
            <w:tcBorders>
              <w:top w:val="single" w:color="auto" w:sz="4" w:space="0"/>
            </w:tcBorders>
            <w:shd w:val="clear" w:color="auto" w:fill="auto"/>
            <w:vAlign w:val="center"/>
          </w:tcPr>
          <w:p>
            <w:pPr>
              <w:widowControl/>
              <w:jc w:val="left"/>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 xml:space="preserve">公开渠道和载体              </w:t>
            </w:r>
          </w:p>
        </w:tc>
        <w:tc>
          <w:tcPr>
            <w:tcW w:w="1072" w:type="dxa"/>
            <w:gridSpan w:val="2"/>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1248" w:type="dxa"/>
            <w:gridSpan w:val="2"/>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1072" w:type="dxa"/>
            <w:gridSpan w:val="3"/>
            <w:tcBorders>
              <w:top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5" w:hRule="atLeast"/>
        </w:trPr>
        <w:tc>
          <w:tcPr>
            <w:tcW w:w="419" w:type="dxa"/>
            <w:vMerge w:val="continue"/>
            <w:vAlign w:val="center"/>
          </w:tcPr>
          <w:p>
            <w:pPr>
              <w:widowControl/>
              <w:jc w:val="left"/>
              <w:rPr>
                <w:rFonts w:ascii="宋体" w:hAnsi="宋体" w:eastAsia="宋体" w:cs="宋体"/>
                <w:b/>
                <w:bCs/>
                <w:color w:val="000000"/>
                <w:kern w:val="0"/>
                <w:sz w:val="18"/>
                <w:szCs w:val="18"/>
              </w:rPr>
            </w:pPr>
          </w:p>
        </w:tc>
        <w:tc>
          <w:tcPr>
            <w:tcW w:w="648" w:type="dxa"/>
            <w:vMerge w:val="continue"/>
            <w:vAlign w:val="center"/>
          </w:tcPr>
          <w:p>
            <w:pPr>
              <w:widowControl/>
              <w:jc w:val="left"/>
              <w:rPr>
                <w:rFonts w:ascii="宋体" w:hAnsi="宋体" w:eastAsia="宋体" w:cs="宋体"/>
                <w:b/>
                <w:bCs/>
                <w:color w:val="000000"/>
                <w:kern w:val="0"/>
                <w:sz w:val="18"/>
                <w:szCs w:val="18"/>
              </w:rPr>
            </w:pPr>
          </w:p>
        </w:tc>
        <w:tc>
          <w:tcPr>
            <w:tcW w:w="696"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 事项</w:t>
            </w:r>
          </w:p>
        </w:tc>
        <w:tc>
          <w:tcPr>
            <w:tcW w:w="936" w:type="dxa"/>
            <w:shd w:val="clear" w:color="auto" w:fill="auto"/>
            <w:vAlign w:val="center"/>
          </w:tcPr>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w:t>
            </w:r>
          </w:p>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事项</w:t>
            </w:r>
          </w:p>
        </w:tc>
        <w:tc>
          <w:tcPr>
            <w:tcW w:w="1514" w:type="dxa"/>
            <w:vMerge w:val="continue"/>
            <w:vAlign w:val="center"/>
          </w:tcPr>
          <w:p>
            <w:pPr>
              <w:widowControl/>
              <w:jc w:val="left"/>
              <w:rPr>
                <w:rFonts w:ascii="宋体" w:hAnsi="宋体" w:eastAsia="宋体" w:cs="宋体"/>
                <w:b/>
                <w:bCs/>
                <w:color w:val="000000"/>
                <w:kern w:val="0"/>
                <w:sz w:val="18"/>
                <w:szCs w:val="18"/>
              </w:rPr>
            </w:pPr>
          </w:p>
        </w:tc>
        <w:tc>
          <w:tcPr>
            <w:tcW w:w="2238" w:type="dxa"/>
            <w:vMerge w:val="continue"/>
            <w:vAlign w:val="center"/>
          </w:tcPr>
          <w:p>
            <w:pPr>
              <w:widowControl/>
              <w:jc w:val="left"/>
              <w:rPr>
                <w:rFonts w:ascii="宋体" w:hAnsi="宋体" w:eastAsia="宋体" w:cs="宋体"/>
                <w:b/>
                <w:bCs/>
                <w:color w:val="000000"/>
                <w:kern w:val="0"/>
                <w:sz w:val="18"/>
                <w:szCs w:val="18"/>
              </w:rPr>
            </w:pPr>
          </w:p>
        </w:tc>
        <w:tc>
          <w:tcPr>
            <w:tcW w:w="1823" w:type="dxa"/>
            <w:vMerge w:val="continue"/>
            <w:vAlign w:val="center"/>
          </w:tcPr>
          <w:p>
            <w:pPr>
              <w:widowControl/>
              <w:jc w:val="left"/>
              <w:rPr>
                <w:rFonts w:ascii="宋体" w:hAnsi="宋体" w:eastAsia="宋体" w:cs="宋体"/>
                <w:b/>
                <w:bCs/>
                <w:color w:val="000000"/>
                <w:kern w:val="0"/>
                <w:sz w:val="18"/>
                <w:szCs w:val="18"/>
              </w:rPr>
            </w:pPr>
          </w:p>
        </w:tc>
        <w:tc>
          <w:tcPr>
            <w:tcW w:w="1256" w:type="dxa"/>
            <w:vMerge w:val="continue"/>
            <w:vAlign w:val="center"/>
          </w:tcPr>
          <w:p>
            <w:pPr>
              <w:widowControl/>
              <w:jc w:val="left"/>
              <w:rPr>
                <w:rFonts w:ascii="宋体" w:hAnsi="宋体" w:eastAsia="宋体" w:cs="宋体"/>
                <w:b/>
                <w:bCs/>
                <w:color w:val="000000"/>
                <w:kern w:val="0"/>
                <w:sz w:val="18"/>
                <w:szCs w:val="18"/>
              </w:rPr>
            </w:pPr>
          </w:p>
        </w:tc>
        <w:tc>
          <w:tcPr>
            <w:tcW w:w="1369" w:type="dxa"/>
            <w:vMerge w:val="continue"/>
            <w:vAlign w:val="center"/>
          </w:tcPr>
          <w:p>
            <w:pPr>
              <w:widowControl/>
              <w:jc w:val="left"/>
              <w:rPr>
                <w:rFonts w:ascii="宋体" w:hAnsi="宋体" w:eastAsia="宋体" w:cs="宋体"/>
                <w:b/>
                <w:bCs/>
                <w:color w:val="000000"/>
                <w:kern w:val="0"/>
                <w:sz w:val="18"/>
                <w:szCs w:val="18"/>
              </w:rPr>
            </w:pPr>
          </w:p>
        </w:tc>
        <w:tc>
          <w:tcPr>
            <w:tcW w:w="432"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640"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 群体</w:t>
            </w:r>
          </w:p>
        </w:tc>
        <w:tc>
          <w:tcPr>
            <w:tcW w:w="656"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592"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352"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352" w:type="dxa"/>
            <w:shd w:val="clear" w:color="auto" w:fill="auto"/>
            <w:vAlign w:val="center"/>
          </w:tcPr>
          <w:p>
            <w:pPr>
              <w:widowControl/>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368" w:type="dxa"/>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4"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w:t>
            </w:r>
          </w:p>
        </w:tc>
        <w:tc>
          <w:tcPr>
            <w:tcW w:w="648"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w:t>
            </w:r>
          </w:p>
        </w:tc>
        <w:tc>
          <w:tcPr>
            <w:tcW w:w="69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部门</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文件</w:t>
            </w:r>
          </w:p>
        </w:tc>
        <w:tc>
          <w:tcPr>
            <w:tcW w:w="9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农村危房改造相关文件</w:t>
            </w:r>
          </w:p>
        </w:tc>
        <w:tc>
          <w:tcPr>
            <w:tcW w:w="1514"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文件分类生成日期标题文号有效性关键词和具体内容等</w:t>
            </w:r>
          </w:p>
        </w:tc>
        <w:tc>
          <w:tcPr>
            <w:tcW w:w="2238"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《政府信息公开条例》《中共中央办公厅国务院办公厅印发〈关于全面推进政务公开工作的意见〉的通知》《中共中央办公厅 国务院办公厅关于建立健全信息发布和政策解读机制的意见》《国务院办公厅印发〈关于全面推进政务公开工作的意见〉实施细则的通知》</w:t>
            </w:r>
          </w:p>
        </w:tc>
        <w:tc>
          <w:tcPr>
            <w:tcW w:w="1823"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2</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政策</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解读</w:t>
            </w:r>
          </w:p>
        </w:tc>
        <w:tc>
          <w:tcPr>
            <w:tcW w:w="9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上级政策解读</w:t>
            </w:r>
          </w:p>
        </w:tc>
        <w:tc>
          <w:tcPr>
            <w:tcW w:w="1514"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着重解读政策措施的背景依据目标任务主要内容涉及范围执行标准，以及注意事项关键词诠释惠民利民举措新旧政策差异等</w:t>
            </w: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3</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9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本级政策解读</w:t>
            </w:r>
          </w:p>
        </w:tc>
        <w:tc>
          <w:tcPr>
            <w:tcW w:w="1514" w:type="dxa"/>
            <w:vMerge w:val="continue"/>
            <w:vAlign w:val="center"/>
          </w:tcPr>
          <w:p>
            <w:pPr>
              <w:widowControl/>
              <w:jc w:val="left"/>
              <w:rPr>
                <w:rFonts w:ascii="宋体" w:hAnsi="宋体" w:eastAsia="宋体" w:cs="宋体"/>
                <w:color w:val="000000"/>
                <w:kern w:val="0"/>
                <w:sz w:val="18"/>
                <w:szCs w:val="18"/>
              </w:rPr>
            </w:pP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9"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4</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执行</w:t>
            </w:r>
          </w:p>
        </w:tc>
        <w:tc>
          <w:tcPr>
            <w:tcW w:w="696"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计划实施</w:t>
            </w: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任务分配</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及时公开农村危房改造补助农户名单</w:t>
            </w:r>
          </w:p>
        </w:tc>
        <w:tc>
          <w:tcPr>
            <w:tcW w:w="2238"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《住房城乡建设部 财政部 国务院扶贫办关于加强和完善建档立卡贫困户等重点对象农村危房改造若干问题的通知》等</w:t>
            </w:r>
            <w:r>
              <w:rPr>
                <w:rFonts w:hint="eastAsia" w:ascii="宋体" w:hAnsi="宋体" w:eastAsia="宋体" w:cs="宋体"/>
                <w:color w:val="000000"/>
                <w:kern w:val="0"/>
                <w:sz w:val="18"/>
                <w:szCs w:val="18"/>
              </w:rPr>
              <w:br w:type="page"/>
            </w: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分配结果确定后20个工作日内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5</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组织培训</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组织开展农村建筑工匠培训文件</w:t>
            </w:r>
          </w:p>
        </w:tc>
        <w:tc>
          <w:tcPr>
            <w:tcW w:w="2238"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《住房城乡建设部 财政部 国务院扶贫办关于决战决胜脱贫攻坚进一步做好农村危房改造的通知》</w:t>
            </w: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xml:space="preserve">■政府网站      </w:t>
            </w:r>
          </w:p>
        </w:tc>
        <w:tc>
          <w:tcPr>
            <w:tcW w:w="43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6</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管理</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br w:type="page"/>
            </w:r>
          </w:p>
        </w:tc>
        <w:tc>
          <w:tcPr>
            <w:tcW w:w="696"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条件与标准</w:t>
            </w:r>
            <w:r>
              <w:rPr>
                <w:rFonts w:hint="eastAsia" w:ascii="宋体" w:hAnsi="宋体" w:eastAsia="宋体" w:cs="宋体"/>
                <w:color w:val="000000"/>
                <w:kern w:val="0"/>
                <w:sz w:val="18"/>
                <w:szCs w:val="18"/>
              </w:rPr>
              <w:br w:type="page"/>
            </w: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农村危房等级评定标准</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农村危房等级评定相关标准</w:t>
            </w:r>
          </w:p>
        </w:tc>
        <w:tc>
          <w:tcPr>
            <w:tcW w:w="2238"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br w:type="page"/>
            </w:r>
            <w:bookmarkStart w:id="0" w:name="_GoBack"/>
            <w:bookmarkEnd w:id="0"/>
            <w:r>
              <w:rPr>
                <w:rFonts w:hint="eastAsia" w:ascii="宋体" w:hAnsi="宋体" w:eastAsia="宋体" w:cs="宋体"/>
                <w:color w:val="000000"/>
                <w:kern w:val="0"/>
                <w:sz w:val="18"/>
                <w:szCs w:val="18"/>
              </w:rPr>
              <w:t>《中华人民共和国预算法》</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《政府信息公开条例》</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《住房城乡建设部 财政部关于印发农村危房改造脱贫攻坚三年行动方案的通知》</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《住房城乡建设部 财政部 国务院扶贫办关于加强和完善建档立卡贫困户等重点对象农村危房改造若干问题的通知》等</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br w:type="page"/>
            </w: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7</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农村危房改造对象申请条件</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农村危房改造农户申请条件</w:t>
            </w: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8</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农村危房改造资金补助标准</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农村危房改造资金补助标准</w:t>
            </w: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9</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管理</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br w:type="page"/>
            </w:r>
          </w:p>
        </w:tc>
        <w:tc>
          <w:tcPr>
            <w:tcW w:w="69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条件与标准</w:t>
            </w:r>
            <w:r>
              <w:rPr>
                <w:rFonts w:hint="eastAsia" w:ascii="宋体" w:hAnsi="宋体" w:eastAsia="宋体" w:cs="宋体"/>
                <w:color w:val="000000"/>
                <w:kern w:val="0"/>
                <w:sz w:val="18"/>
                <w:szCs w:val="18"/>
              </w:rPr>
              <w:br w:type="page"/>
            </w: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农村危房改造竣工合格标准</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农村危房改造竣工验收要求</w:t>
            </w:r>
          </w:p>
        </w:tc>
        <w:tc>
          <w:tcPr>
            <w:tcW w:w="2238"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《住房城乡建设部 财政部关于印发农村危房改造脱贫攻坚三年行动方案的通知》</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《住房城乡建设部 财政部 国务院扶贫办关于加强和完善建档立卡贫困户等重点对象农村危房改造若干问题的通知》等</w:t>
            </w:r>
            <w:r>
              <w:rPr>
                <w:rFonts w:hint="eastAsia" w:ascii="宋体" w:hAnsi="宋体" w:eastAsia="宋体" w:cs="宋体"/>
                <w:color w:val="000000"/>
                <w:kern w:val="0"/>
                <w:sz w:val="18"/>
                <w:szCs w:val="18"/>
              </w:rPr>
              <w:br w:type="page"/>
            </w: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对象认定</w:t>
            </w: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危改户认定程序</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农村危房改造申请程序</w:t>
            </w: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9"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11</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认定结果</w:t>
            </w:r>
          </w:p>
        </w:tc>
        <w:tc>
          <w:tcPr>
            <w:tcW w:w="1514"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认定结果</w:t>
            </w: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000000" w:fill="FFFFFF"/>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9" w:type="dxa"/>
            <w:shd w:val="clear" w:color="000000" w:fill="FFFFFF"/>
            <w:vAlign w:val="center"/>
          </w:tcPr>
          <w:p>
            <w:pPr>
              <w:widowControl/>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12</w:t>
            </w:r>
          </w:p>
        </w:tc>
        <w:tc>
          <w:tcPr>
            <w:tcW w:w="648" w:type="dxa"/>
            <w:vMerge w:val="restart"/>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结果</w:t>
            </w:r>
          </w:p>
        </w:tc>
        <w:tc>
          <w:tcPr>
            <w:tcW w:w="69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决策部署</w:t>
            </w: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决策部署落实情况</w:t>
            </w:r>
          </w:p>
        </w:tc>
        <w:tc>
          <w:tcPr>
            <w:tcW w:w="1514"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决策部署落实情况等</w:t>
            </w:r>
          </w:p>
        </w:tc>
        <w:tc>
          <w:tcPr>
            <w:tcW w:w="2238"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《中共中央办公厅国务院办公厅印发〈关于全面推进政务公开工作的意见〉的通知》</w:t>
            </w:r>
            <w:r>
              <w:rPr>
                <w:rFonts w:hint="eastAsia" w:ascii="宋体" w:hAnsi="宋体" w:eastAsia="宋体" w:cs="宋体"/>
                <w:color w:val="000000"/>
                <w:kern w:val="0"/>
                <w:sz w:val="18"/>
                <w:szCs w:val="18"/>
              </w:rPr>
              <w:br w:type="textWrapping"/>
            </w:r>
            <w:r>
              <w:rPr>
                <w:rFonts w:hint="eastAsia" w:ascii="宋体" w:hAnsi="宋体" w:eastAsia="宋体" w:cs="宋体"/>
                <w:color w:val="000000"/>
                <w:kern w:val="0"/>
                <w:sz w:val="18"/>
                <w:szCs w:val="18"/>
              </w:rPr>
              <w:t>《国务院办公厅印发〈关于全面推进政务公开工作的意见〉实施细则的通知》</w:t>
            </w:r>
          </w:p>
        </w:tc>
        <w:tc>
          <w:tcPr>
            <w:tcW w:w="1823"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9" w:type="dxa"/>
            <w:shd w:val="clear" w:color="000000" w:fill="FFFFFF"/>
            <w:vAlign w:val="center"/>
          </w:tcPr>
          <w:p>
            <w:pPr>
              <w:widowControl/>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13</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年度任务实施</w:t>
            </w:r>
          </w:p>
        </w:tc>
        <w:tc>
          <w:tcPr>
            <w:tcW w:w="936" w:type="dxa"/>
            <w:shd w:val="clear" w:color="000000" w:fill="FFFFFF"/>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年度任务执行情况</w:t>
            </w:r>
          </w:p>
        </w:tc>
        <w:tc>
          <w:tcPr>
            <w:tcW w:w="1514"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年度工作完成情况等</w:t>
            </w: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419" w:type="dxa"/>
            <w:shd w:val="clear" w:color="000000" w:fill="FFFFFF"/>
            <w:vAlign w:val="center"/>
          </w:tcPr>
          <w:p>
            <w:pPr>
              <w:widowControl/>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14</w:t>
            </w:r>
          </w:p>
        </w:tc>
        <w:tc>
          <w:tcPr>
            <w:tcW w:w="648"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回应关切</w:t>
            </w:r>
          </w:p>
        </w:tc>
        <w:tc>
          <w:tcPr>
            <w:tcW w:w="696" w:type="dxa"/>
            <w:vMerge w:val="restart"/>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舆情收集热点及关键问题回 应</w:t>
            </w:r>
          </w:p>
        </w:tc>
        <w:tc>
          <w:tcPr>
            <w:tcW w:w="9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舆情收集回应</w:t>
            </w:r>
          </w:p>
        </w:tc>
        <w:tc>
          <w:tcPr>
            <w:tcW w:w="1514"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接受投诉咨询建议等联系电话通信地址等</w:t>
            </w:r>
          </w:p>
        </w:tc>
        <w:tc>
          <w:tcPr>
            <w:tcW w:w="2238" w:type="dxa"/>
            <w:vMerge w:val="restart"/>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《政府信息公开条例》</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《中共中央办公厅国务院办公厅印发〈关于全面推进政务公开工作的意见〉的通知》</w:t>
            </w:r>
            <w:r>
              <w:rPr>
                <w:rFonts w:hint="eastAsia" w:ascii="宋体" w:hAnsi="宋体" w:eastAsia="宋体" w:cs="宋体"/>
                <w:color w:val="000000"/>
                <w:kern w:val="0"/>
                <w:sz w:val="18"/>
                <w:szCs w:val="18"/>
              </w:rPr>
              <w:br w:type="page"/>
            </w:r>
            <w:r>
              <w:rPr>
                <w:rFonts w:hint="eastAsia" w:ascii="宋体" w:hAnsi="宋体" w:eastAsia="宋体" w:cs="宋体"/>
                <w:color w:val="000000"/>
                <w:kern w:val="0"/>
                <w:sz w:val="18"/>
                <w:szCs w:val="18"/>
              </w:rPr>
              <w:t>《国务院办公厅印发〈关于全面推进政务公开工作的意见〉实施细则的通知》</w:t>
            </w:r>
          </w:p>
        </w:tc>
        <w:tc>
          <w:tcPr>
            <w:tcW w:w="1823"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信息形成之日起20个工作日内</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0" w:hRule="atLeast"/>
        </w:trPr>
        <w:tc>
          <w:tcPr>
            <w:tcW w:w="419" w:type="dxa"/>
            <w:shd w:val="clear" w:color="000000" w:fill="FFFFFF"/>
            <w:vAlign w:val="center"/>
          </w:tcPr>
          <w:p>
            <w:pPr>
              <w:widowControl/>
              <w:jc w:val="center"/>
              <w:rPr>
                <w:rFonts w:ascii="宋体" w:hAnsi="宋体" w:eastAsia="宋体" w:cs="宋体"/>
                <w:color w:val="000000"/>
                <w:kern w:val="0"/>
                <w:sz w:val="18"/>
                <w:szCs w:val="18"/>
                <w:lang w:val="en-US" w:eastAsia="zh-CN" w:bidi="ar-SA"/>
              </w:rPr>
            </w:pPr>
            <w:r>
              <w:rPr>
                <w:rFonts w:hint="eastAsia" w:ascii="宋体" w:hAnsi="宋体" w:eastAsia="宋体" w:cs="宋体"/>
                <w:color w:val="000000"/>
                <w:kern w:val="0"/>
                <w:sz w:val="18"/>
                <w:szCs w:val="18"/>
              </w:rPr>
              <w:t>15</w:t>
            </w:r>
          </w:p>
        </w:tc>
        <w:tc>
          <w:tcPr>
            <w:tcW w:w="648" w:type="dxa"/>
            <w:vMerge w:val="continue"/>
            <w:vAlign w:val="center"/>
          </w:tcPr>
          <w:p>
            <w:pPr>
              <w:widowControl/>
              <w:jc w:val="left"/>
              <w:rPr>
                <w:rFonts w:ascii="宋体" w:hAnsi="宋体" w:eastAsia="宋体" w:cs="宋体"/>
                <w:color w:val="000000"/>
                <w:kern w:val="0"/>
                <w:sz w:val="18"/>
                <w:szCs w:val="18"/>
              </w:rPr>
            </w:pPr>
          </w:p>
        </w:tc>
        <w:tc>
          <w:tcPr>
            <w:tcW w:w="696" w:type="dxa"/>
            <w:vMerge w:val="continue"/>
            <w:vAlign w:val="center"/>
          </w:tcPr>
          <w:p>
            <w:pPr>
              <w:widowControl/>
              <w:jc w:val="left"/>
              <w:rPr>
                <w:rFonts w:ascii="宋体" w:hAnsi="宋体" w:eastAsia="宋体" w:cs="宋体"/>
                <w:color w:val="000000"/>
                <w:kern w:val="0"/>
                <w:sz w:val="18"/>
                <w:szCs w:val="18"/>
              </w:rPr>
            </w:pPr>
          </w:p>
        </w:tc>
        <w:tc>
          <w:tcPr>
            <w:tcW w:w="93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互动回应</w:t>
            </w:r>
          </w:p>
        </w:tc>
        <w:tc>
          <w:tcPr>
            <w:tcW w:w="1514"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涉及群众切身利益和舆论关注的焦点热点及关键问题等回应内容</w:t>
            </w:r>
          </w:p>
        </w:tc>
        <w:tc>
          <w:tcPr>
            <w:tcW w:w="2238" w:type="dxa"/>
            <w:vMerge w:val="continue"/>
            <w:vAlign w:val="center"/>
          </w:tcPr>
          <w:p>
            <w:pPr>
              <w:widowControl/>
              <w:jc w:val="left"/>
              <w:rPr>
                <w:rFonts w:ascii="宋体" w:hAnsi="宋体" w:eastAsia="宋体" w:cs="宋体"/>
                <w:color w:val="000000"/>
                <w:kern w:val="0"/>
                <w:sz w:val="18"/>
                <w:szCs w:val="18"/>
              </w:rPr>
            </w:pPr>
          </w:p>
        </w:tc>
        <w:tc>
          <w:tcPr>
            <w:tcW w:w="1823"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及时发布信息；对涉及重大舆情的，要快速反应，并根据工作进展情况，持续发布信息。</w:t>
            </w:r>
          </w:p>
        </w:tc>
        <w:tc>
          <w:tcPr>
            <w:tcW w:w="1256" w:type="dxa"/>
            <w:shd w:val="clear" w:color="auto" w:fill="auto"/>
            <w:vAlign w:val="center"/>
          </w:tcPr>
          <w:p>
            <w:pPr>
              <w:widowControl/>
              <w:jc w:val="left"/>
              <w:rPr>
                <w:rFonts w:ascii="宋体" w:hAnsi="宋体" w:eastAsia="宋体" w:cs="宋体"/>
                <w:color w:val="000000"/>
                <w:kern w:val="0"/>
                <w:sz w:val="18"/>
                <w:szCs w:val="18"/>
              </w:rPr>
            </w:pPr>
            <w:r>
              <w:rPr>
                <w:rFonts w:hint="eastAsia" w:ascii="仿宋" w:hAnsi="仿宋" w:eastAsia="仿宋" w:cs="宋体"/>
                <w:bCs/>
                <w:kern w:val="0"/>
                <w:sz w:val="18"/>
                <w:szCs w:val="18"/>
                <w:lang w:eastAsia="zh-CN"/>
              </w:rPr>
              <w:t>斗山镇人民政府</w:t>
            </w:r>
          </w:p>
        </w:tc>
        <w:tc>
          <w:tcPr>
            <w:tcW w:w="1369" w:type="dxa"/>
            <w:shd w:val="clear" w:color="auto" w:fill="auto"/>
            <w:vAlign w:val="center"/>
          </w:tcPr>
          <w:p>
            <w:pPr>
              <w:widowControl/>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■政府网站</w:t>
            </w:r>
          </w:p>
        </w:tc>
        <w:tc>
          <w:tcPr>
            <w:tcW w:w="43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640"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656"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59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　</w:t>
            </w:r>
          </w:p>
        </w:tc>
        <w:tc>
          <w:tcPr>
            <w:tcW w:w="352"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c>
          <w:tcPr>
            <w:tcW w:w="368" w:type="dxa"/>
            <w:shd w:val="clear" w:color="auto" w:fill="auto"/>
            <w:vAlign w:val="center"/>
          </w:tcPr>
          <w:p>
            <w:pPr>
              <w:widowControl/>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w:t>
            </w:r>
          </w:p>
        </w:tc>
      </w:tr>
    </w:tbl>
    <w:p>
      <w:pPr>
        <w:jc w:val="both"/>
        <w:rPr>
          <w:rFonts w:hint="eastAsia"/>
        </w:rPr>
      </w:pPr>
    </w:p>
    <w:sectPr>
      <w:pgSz w:w="16838" w:h="11906" w:orient="landscape"/>
      <w:pgMar w:top="1080"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00EA627D"/>
    <w:rsid w:val="06E01C54"/>
    <w:rsid w:val="0ACB7C06"/>
    <w:rsid w:val="191D3991"/>
    <w:rsid w:val="2C723D81"/>
    <w:rsid w:val="2E167BDC"/>
    <w:rsid w:val="2FC525DE"/>
    <w:rsid w:val="33FC07F1"/>
    <w:rsid w:val="367A61DF"/>
    <w:rsid w:val="3BB803FC"/>
    <w:rsid w:val="3FE746CF"/>
    <w:rsid w:val="419B3707"/>
    <w:rsid w:val="45BE1C7E"/>
    <w:rsid w:val="4AD4463A"/>
    <w:rsid w:val="4B0C6350"/>
    <w:rsid w:val="4B5758D9"/>
    <w:rsid w:val="4CEC472A"/>
    <w:rsid w:val="4EF614B4"/>
    <w:rsid w:val="5CB50F38"/>
    <w:rsid w:val="5DA03472"/>
    <w:rsid w:val="5E001C34"/>
    <w:rsid w:val="5F13218A"/>
    <w:rsid w:val="62044B10"/>
    <w:rsid w:val="741869A5"/>
    <w:rsid w:val="766513A4"/>
    <w:rsid w:val="78087C21"/>
    <w:rsid w:val="7BF6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auto"/>
      <w:sz w:val="24"/>
      <w:szCs w:val="24"/>
      <w:u w:val="none"/>
    </w:rPr>
  </w:style>
  <w:style w:type="character" w:customStyle="1" w:styleId="5">
    <w:name w:val="font401"/>
    <w:basedOn w:val="3"/>
    <w:qFormat/>
    <w:uiPriority w:val="0"/>
    <w:rPr>
      <w:rFonts w:hint="eastAsia" w:ascii="宋体" w:hAnsi="宋体" w:eastAsia="宋体" w:cs="宋体"/>
      <w:color w:val="auto"/>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4</TotalTime>
  <ScaleCrop>false</ScaleCrop>
  <LinksUpToDate>false</LinksUpToDate>
  <CharactersWithSpaces>972</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青桔柠檬</cp:lastModifiedBy>
  <dcterms:modified xsi:type="dcterms:W3CDTF">2020-11-23T11:53:19Z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