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cs="宋体"/>
          <w:color w:val="000000"/>
          <w:kern w:val="0"/>
          <w:sz w:val="36"/>
          <w:szCs w:val="28"/>
        </w:rPr>
      </w:pPr>
      <w:r>
        <w:rPr>
          <w:rFonts w:hint="eastAsia" w:ascii="华文中宋" w:hAnsi="华文中宋" w:eastAsia="华文中宋" w:cs="宋体"/>
          <w:color w:val="000000"/>
          <w:kern w:val="0"/>
          <w:sz w:val="36"/>
          <w:szCs w:val="28"/>
        </w:rPr>
        <w:t>城市综合执法领域基层政务公开标准目录</w:t>
      </w:r>
    </w:p>
    <w:p>
      <w:pPr>
        <w:jc w:val="both"/>
        <w:rPr>
          <w:rFonts w:hint="eastAsia"/>
        </w:rPr>
      </w:pPr>
    </w:p>
    <w:tbl>
      <w:tblPr>
        <w:tblStyle w:val="2"/>
        <w:tblW w:w="13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638"/>
        <w:gridCol w:w="1372"/>
        <w:gridCol w:w="2649"/>
        <w:gridCol w:w="1495"/>
        <w:gridCol w:w="1680"/>
        <w:gridCol w:w="1311"/>
        <w:gridCol w:w="1588"/>
        <w:gridCol w:w="332"/>
        <w:gridCol w:w="296"/>
        <w:gridCol w:w="350"/>
        <w:gridCol w:w="420"/>
        <w:gridCol w:w="369"/>
        <w:gridCol w:w="351"/>
        <w:gridCol w:w="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541" w:type="dxa"/>
            <w:vMerge w:val="restart"/>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638" w:type="dxa"/>
            <w:shd w:val="clear" w:color="auto" w:fill="auto"/>
            <w:vAlign w:val="center"/>
          </w:tcPr>
          <w:p>
            <w:pPr>
              <w:widowControl/>
              <w:jc w:val="center"/>
              <w:rPr>
                <w:rFonts w:hint="eastAsia" w:ascii="宋体" w:hAnsi="宋体" w:eastAsia="宋体" w:cs="宋体"/>
                <w:b/>
                <w:bCs/>
                <w:color w:val="000000"/>
                <w:kern w:val="0"/>
                <w:sz w:val="18"/>
                <w:szCs w:val="18"/>
              </w:rPr>
            </w:pPr>
          </w:p>
        </w:tc>
        <w:tc>
          <w:tcPr>
            <w:tcW w:w="1372" w:type="dxa"/>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公开事项</w:t>
            </w:r>
          </w:p>
        </w:tc>
        <w:tc>
          <w:tcPr>
            <w:tcW w:w="2649" w:type="dxa"/>
            <w:vMerge w:val="restart"/>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公开内容</w:t>
            </w:r>
          </w:p>
        </w:tc>
        <w:tc>
          <w:tcPr>
            <w:tcW w:w="1495" w:type="dxa"/>
            <w:vMerge w:val="restart"/>
            <w:vAlign w:val="center"/>
          </w:tcPr>
          <w:p>
            <w:pPr>
              <w:widowControl/>
              <w:jc w:val="center"/>
              <w:rPr>
                <w:rFonts w:hint="eastAsia" w:ascii="宋体" w:hAnsi="宋体" w:eastAsia="宋体" w:cs="宋体"/>
                <w:b/>
                <w:bCs/>
                <w:color w:val="000000"/>
                <w:kern w:val="0"/>
                <w:sz w:val="18"/>
                <w:szCs w:val="18"/>
                <w:lang w:val="en-US" w:eastAsia="zh-CN" w:bidi="ar-SA"/>
              </w:rPr>
            </w:pPr>
            <w:r>
              <w:rPr>
                <w:rFonts w:hint="eastAsia" w:ascii="宋体" w:hAnsi="宋体" w:eastAsia="宋体" w:cs="宋体"/>
                <w:b/>
                <w:bCs/>
                <w:color w:val="000000"/>
                <w:kern w:val="0"/>
                <w:sz w:val="18"/>
                <w:szCs w:val="18"/>
              </w:rPr>
              <w:t>公开依据</w:t>
            </w:r>
          </w:p>
        </w:tc>
        <w:tc>
          <w:tcPr>
            <w:tcW w:w="1680" w:type="dxa"/>
            <w:vMerge w:val="restart"/>
            <w:vAlign w:val="center"/>
          </w:tcPr>
          <w:p>
            <w:pPr>
              <w:widowControl/>
              <w:jc w:val="center"/>
              <w:rPr>
                <w:rFonts w:hint="eastAsia" w:ascii="宋体" w:hAnsi="宋体" w:eastAsia="宋体" w:cs="宋体"/>
                <w:b/>
                <w:bCs/>
                <w:color w:val="000000"/>
                <w:kern w:val="0"/>
                <w:sz w:val="18"/>
                <w:szCs w:val="18"/>
                <w:lang w:val="en-US" w:eastAsia="zh-CN" w:bidi="ar-SA"/>
              </w:rPr>
            </w:pPr>
            <w:r>
              <w:rPr>
                <w:rFonts w:hint="eastAsia" w:ascii="宋体" w:hAnsi="宋体" w:eastAsia="宋体" w:cs="宋体"/>
                <w:b/>
                <w:bCs/>
                <w:color w:val="000000"/>
                <w:kern w:val="0"/>
                <w:sz w:val="18"/>
                <w:szCs w:val="18"/>
              </w:rPr>
              <w:t>公开时限</w:t>
            </w:r>
          </w:p>
        </w:tc>
        <w:tc>
          <w:tcPr>
            <w:tcW w:w="1311" w:type="dxa"/>
            <w:vMerge w:val="restart"/>
            <w:vAlign w:val="center"/>
          </w:tcPr>
          <w:p>
            <w:pPr>
              <w:widowControl/>
              <w:jc w:val="center"/>
              <w:rPr>
                <w:rFonts w:hint="eastAsia" w:ascii="宋体" w:hAnsi="宋体" w:eastAsia="宋体" w:cs="宋体"/>
                <w:b/>
                <w:bCs/>
                <w:color w:val="000000"/>
                <w:kern w:val="0"/>
                <w:sz w:val="18"/>
                <w:szCs w:val="18"/>
                <w:lang w:val="en-US" w:eastAsia="zh-CN" w:bidi="ar-SA"/>
              </w:rPr>
            </w:pPr>
            <w:r>
              <w:rPr>
                <w:rFonts w:hint="eastAsia" w:ascii="宋体" w:hAnsi="宋体" w:eastAsia="宋体" w:cs="宋体"/>
                <w:b/>
                <w:bCs/>
                <w:color w:val="000000"/>
                <w:kern w:val="0"/>
                <w:sz w:val="18"/>
                <w:szCs w:val="18"/>
              </w:rPr>
              <w:t>公开主体</w:t>
            </w:r>
          </w:p>
        </w:tc>
        <w:tc>
          <w:tcPr>
            <w:tcW w:w="1588" w:type="dxa"/>
            <w:vMerge w:val="restart"/>
            <w:vAlign w:val="center"/>
          </w:tcPr>
          <w:p>
            <w:pPr>
              <w:widowControl/>
              <w:jc w:val="both"/>
              <w:rPr>
                <w:rFonts w:hint="eastAsia" w:ascii="宋体" w:hAnsi="宋体" w:eastAsia="宋体" w:cs="宋体"/>
                <w:b/>
                <w:bCs/>
                <w:color w:val="000000"/>
                <w:kern w:val="0"/>
                <w:sz w:val="18"/>
                <w:szCs w:val="18"/>
                <w:lang w:val="en-US" w:eastAsia="zh-CN" w:bidi="ar-SA"/>
              </w:rPr>
            </w:pPr>
            <w:r>
              <w:rPr>
                <w:rFonts w:hint="eastAsia" w:ascii="宋体" w:hAnsi="宋体" w:eastAsia="宋体" w:cs="宋体"/>
                <w:b/>
                <w:bCs/>
                <w:color w:val="000000"/>
                <w:kern w:val="0"/>
                <w:sz w:val="18"/>
                <w:szCs w:val="18"/>
              </w:rPr>
              <w:t xml:space="preserve">公开渠道和载体                 </w:t>
            </w:r>
          </w:p>
        </w:tc>
        <w:tc>
          <w:tcPr>
            <w:tcW w:w="628" w:type="dxa"/>
            <w:gridSpan w:val="2"/>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公开对象</w:t>
            </w:r>
          </w:p>
        </w:tc>
        <w:tc>
          <w:tcPr>
            <w:tcW w:w="770" w:type="dxa"/>
            <w:gridSpan w:val="2"/>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公开方式</w:t>
            </w:r>
          </w:p>
        </w:tc>
        <w:tc>
          <w:tcPr>
            <w:tcW w:w="1070" w:type="dxa"/>
            <w:gridSpan w:val="3"/>
            <w:shd w:val="clear" w:color="auto" w:fill="auto"/>
            <w:vAlign w:val="center"/>
          </w:tcPr>
          <w:p>
            <w:pPr>
              <w:widowControl/>
              <w:jc w:val="center"/>
              <w:rPr>
                <w:rFonts w:hint="default" w:ascii="宋体" w:hAnsi="宋体" w:eastAsia="宋体" w:cs="宋体"/>
                <w:b/>
                <w:bCs/>
                <w:color w:val="000000"/>
                <w:kern w:val="0"/>
                <w:sz w:val="18"/>
                <w:szCs w:val="18"/>
                <w:lang w:val="en-US" w:eastAsia="zh-CN"/>
              </w:rPr>
            </w:pPr>
            <w:r>
              <w:rPr>
                <w:rFonts w:hint="eastAsia" w:ascii="宋体" w:hAnsi="宋体" w:eastAsia="宋体" w:cs="宋体"/>
                <w:b/>
                <w:bCs/>
                <w:color w:val="000000"/>
                <w:kern w:val="0"/>
                <w:sz w:val="18"/>
                <w:szCs w:val="18"/>
              </w:rPr>
              <w:t>公开</w:t>
            </w:r>
            <w:r>
              <w:rPr>
                <w:rFonts w:hint="eastAsia" w:ascii="宋体" w:hAnsi="宋体" w:eastAsia="宋体" w:cs="宋体"/>
                <w:b/>
                <w:bCs/>
                <w:color w:val="000000"/>
                <w:kern w:val="0"/>
                <w:sz w:val="18"/>
                <w:szCs w:val="18"/>
                <w:lang w:val="en-US" w:eastAsia="zh-CN"/>
              </w:rPr>
              <w:t>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541" w:type="dxa"/>
            <w:vMerge w:val="continue"/>
            <w:shd w:val="clear" w:color="auto" w:fill="auto"/>
            <w:vAlign w:val="center"/>
          </w:tcPr>
          <w:p>
            <w:pPr>
              <w:widowControl/>
              <w:jc w:val="center"/>
              <w:rPr>
                <w:rFonts w:hint="eastAsia" w:ascii="宋体" w:hAnsi="宋体" w:eastAsia="宋体" w:cs="宋体"/>
                <w:b/>
                <w:bCs/>
                <w:color w:val="000000"/>
                <w:kern w:val="0"/>
                <w:sz w:val="18"/>
                <w:szCs w:val="18"/>
              </w:rPr>
            </w:pPr>
          </w:p>
        </w:tc>
        <w:tc>
          <w:tcPr>
            <w:tcW w:w="638" w:type="dxa"/>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一级事项</w:t>
            </w:r>
          </w:p>
        </w:tc>
        <w:tc>
          <w:tcPr>
            <w:tcW w:w="1372" w:type="dxa"/>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二级事项</w:t>
            </w:r>
          </w:p>
        </w:tc>
        <w:tc>
          <w:tcPr>
            <w:tcW w:w="2649" w:type="dxa"/>
            <w:vMerge w:val="continue"/>
            <w:vAlign w:val="center"/>
          </w:tcPr>
          <w:p>
            <w:pPr>
              <w:widowControl/>
              <w:jc w:val="center"/>
              <w:rPr>
                <w:rFonts w:hint="eastAsia" w:ascii="宋体" w:hAnsi="宋体" w:eastAsia="宋体" w:cs="宋体"/>
                <w:b/>
                <w:bCs/>
                <w:color w:val="000000"/>
                <w:kern w:val="0"/>
                <w:sz w:val="18"/>
                <w:szCs w:val="18"/>
              </w:rPr>
            </w:pPr>
          </w:p>
        </w:tc>
        <w:tc>
          <w:tcPr>
            <w:tcW w:w="1495" w:type="dxa"/>
            <w:vMerge w:val="continue"/>
            <w:vAlign w:val="center"/>
          </w:tcPr>
          <w:p>
            <w:pPr>
              <w:widowControl/>
              <w:jc w:val="center"/>
              <w:rPr>
                <w:rFonts w:hint="eastAsia" w:ascii="宋体" w:hAnsi="宋体" w:eastAsia="宋体" w:cs="宋体"/>
                <w:b/>
                <w:bCs/>
                <w:color w:val="000000"/>
                <w:kern w:val="0"/>
                <w:sz w:val="18"/>
                <w:szCs w:val="18"/>
              </w:rPr>
            </w:pPr>
          </w:p>
        </w:tc>
        <w:tc>
          <w:tcPr>
            <w:tcW w:w="1680" w:type="dxa"/>
            <w:vMerge w:val="continue"/>
            <w:vAlign w:val="center"/>
          </w:tcPr>
          <w:p>
            <w:pPr>
              <w:widowControl/>
              <w:jc w:val="center"/>
              <w:rPr>
                <w:rFonts w:hint="eastAsia" w:ascii="宋体" w:hAnsi="宋体" w:eastAsia="宋体" w:cs="宋体"/>
                <w:b/>
                <w:bCs/>
                <w:color w:val="000000"/>
                <w:kern w:val="0"/>
                <w:sz w:val="18"/>
                <w:szCs w:val="18"/>
              </w:rPr>
            </w:pPr>
          </w:p>
        </w:tc>
        <w:tc>
          <w:tcPr>
            <w:tcW w:w="1311" w:type="dxa"/>
            <w:vMerge w:val="continue"/>
            <w:vAlign w:val="center"/>
          </w:tcPr>
          <w:p>
            <w:pPr>
              <w:widowControl/>
              <w:jc w:val="center"/>
              <w:rPr>
                <w:rFonts w:hint="eastAsia" w:ascii="宋体" w:hAnsi="宋体" w:eastAsia="宋体" w:cs="宋体"/>
                <w:b/>
                <w:bCs/>
                <w:color w:val="000000"/>
                <w:kern w:val="0"/>
                <w:sz w:val="18"/>
                <w:szCs w:val="18"/>
              </w:rPr>
            </w:pPr>
          </w:p>
        </w:tc>
        <w:tc>
          <w:tcPr>
            <w:tcW w:w="1588" w:type="dxa"/>
            <w:vMerge w:val="continue"/>
            <w:vAlign w:val="center"/>
          </w:tcPr>
          <w:p>
            <w:pPr>
              <w:widowControl/>
              <w:jc w:val="center"/>
              <w:rPr>
                <w:rFonts w:hint="eastAsia" w:ascii="宋体" w:hAnsi="宋体" w:eastAsia="宋体" w:cs="宋体"/>
                <w:b/>
                <w:bCs/>
                <w:color w:val="000000"/>
                <w:kern w:val="0"/>
                <w:sz w:val="18"/>
                <w:szCs w:val="18"/>
              </w:rPr>
            </w:pPr>
          </w:p>
        </w:tc>
        <w:tc>
          <w:tcPr>
            <w:tcW w:w="332" w:type="dxa"/>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全社会</w:t>
            </w:r>
          </w:p>
        </w:tc>
        <w:tc>
          <w:tcPr>
            <w:tcW w:w="296" w:type="dxa"/>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特定群体</w:t>
            </w:r>
          </w:p>
        </w:tc>
        <w:tc>
          <w:tcPr>
            <w:tcW w:w="350" w:type="dxa"/>
            <w:shd w:val="clear" w:color="auto" w:fill="auto"/>
            <w:vAlign w:val="center"/>
          </w:tcPr>
          <w:p>
            <w:pPr>
              <w:widowControl/>
              <w:jc w:val="center"/>
              <w:rPr>
                <w:rFonts w:hint="eastAsia" w:ascii="宋体" w:hAnsi="宋体" w:eastAsia="宋体" w:cs="宋体"/>
                <w:b/>
                <w:bCs/>
                <w:color w:val="000000"/>
                <w:kern w:val="0"/>
                <w:sz w:val="18"/>
                <w:szCs w:val="18"/>
                <w:lang w:eastAsia="zh-CN"/>
              </w:rPr>
            </w:pPr>
            <w:r>
              <w:rPr>
                <w:rFonts w:hint="eastAsia" w:ascii="宋体" w:hAnsi="宋体" w:eastAsia="宋体" w:cs="宋体"/>
                <w:b/>
                <w:bCs/>
                <w:color w:val="000000"/>
                <w:kern w:val="0"/>
                <w:sz w:val="18"/>
                <w:szCs w:val="18"/>
              </w:rPr>
              <w:t>主动</w:t>
            </w:r>
            <w:r>
              <w:rPr>
                <w:rFonts w:hint="eastAsia" w:ascii="宋体" w:hAnsi="宋体" w:eastAsia="宋体" w:cs="宋体"/>
                <w:b/>
                <w:bCs/>
                <w:color w:val="000000"/>
                <w:kern w:val="0"/>
                <w:sz w:val="18"/>
                <w:szCs w:val="18"/>
                <w:lang w:eastAsia="zh-CN"/>
              </w:rPr>
              <w:t>公开</w:t>
            </w:r>
          </w:p>
        </w:tc>
        <w:tc>
          <w:tcPr>
            <w:tcW w:w="420" w:type="dxa"/>
            <w:shd w:val="clear" w:color="auto" w:fill="auto"/>
            <w:vAlign w:val="center"/>
          </w:tcPr>
          <w:p>
            <w:pPr>
              <w:widowControl/>
              <w:jc w:val="center"/>
              <w:rPr>
                <w:rFonts w:hint="eastAsia" w:ascii="宋体" w:hAnsi="宋体" w:eastAsia="宋体" w:cs="宋体"/>
                <w:b/>
                <w:bCs/>
                <w:color w:val="000000"/>
                <w:kern w:val="0"/>
                <w:sz w:val="18"/>
                <w:szCs w:val="18"/>
                <w:lang w:eastAsia="zh-CN"/>
              </w:rPr>
            </w:pPr>
            <w:r>
              <w:rPr>
                <w:rFonts w:hint="eastAsia" w:ascii="宋体" w:hAnsi="宋体" w:eastAsia="宋体" w:cs="宋体"/>
                <w:b/>
                <w:bCs/>
                <w:color w:val="000000"/>
                <w:kern w:val="0"/>
                <w:sz w:val="18"/>
                <w:szCs w:val="18"/>
              </w:rPr>
              <w:t>依申请</w:t>
            </w:r>
            <w:r>
              <w:rPr>
                <w:rFonts w:hint="eastAsia" w:ascii="宋体" w:hAnsi="宋体" w:eastAsia="宋体" w:cs="宋体"/>
                <w:b/>
                <w:bCs/>
                <w:color w:val="000000"/>
                <w:kern w:val="0"/>
                <w:sz w:val="18"/>
                <w:szCs w:val="18"/>
                <w:lang w:eastAsia="zh-CN"/>
              </w:rPr>
              <w:t>公开</w:t>
            </w:r>
          </w:p>
        </w:tc>
        <w:tc>
          <w:tcPr>
            <w:tcW w:w="369" w:type="dxa"/>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县级</w:t>
            </w:r>
          </w:p>
        </w:tc>
        <w:tc>
          <w:tcPr>
            <w:tcW w:w="351" w:type="dxa"/>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镇级</w:t>
            </w:r>
          </w:p>
        </w:tc>
        <w:tc>
          <w:tcPr>
            <w:tcW w:w="350" w:type="dxa"/>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lang w:eastAsia="zh-CN"/>
              </w:rPr>
              <w:t>村</w:t>
            </w:r>
            <w:bookmarkStart w:id="0" w:name="_GoBack"/>
            <w:bookmarkEnd w:id="0"/>
            <w:r>
              <w:rPr>
                <w:rFonts w:hint="eastAsia" w:ascii="宋体" w:hAnsi="宋体" w:eastAsia="宋体" w:cs="宋体"/>
                <w:b/>
                <w:bCs/>
                <w:color w:val="000000"/>
                <w:kern w:val="0"/>
                <w:sz w:val="18"/>
                <w:szCs w:val="18"/>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不符合预售条件预售商品房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《城市房地产管理法》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未取得资质等级证书或者超越资质等级从事房地产开发经营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《城市房地产开发经营管理条例》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擅自预售商品房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《城市房地产开发经营管理条例》                                                                                                                                      《商品房销售管理办法》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房产测绘单位在房产面积测算中不执行国家标准、规范和规定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房产测绘单位在房产面积测算中弄虚作假、欺骗房屋权利人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《房产测绘管理办法》</w:t>
            </w:r>
            <w:r>
              <w:rPr>
                <w:rFonts w:hint="eastAsia" w:ascii="宋体" w:hAnsi="宋体" w:eastAsia="宋体" w:cs="宋体"/>
                <w:kern w:val="0"/>
                <w:sz w:val="18"/>
                <w:szCs w:val="18"/>
              </w:rPr>
              <w:br w:type="page"/>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房产测绘单位房产面积测算失误，造成重大损失</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房地产经纪人员以个人名义承接房地产经纪业务和收取费用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房地产经纪机构提供代办贷款、代办房地产登记等其他服务，未向委托人说明服务内容、收费标准等情况，并未经委托人同意</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房地产经纪服务合同未由从事该业务的一名房地产经纪人或者两名房地产经纪人协理签名</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r>
              <w:rPr>
                <w:rFonts w:hint="eastAsia" w:ascii="宋体" w:hAnsi="宋体" w:eastAsia="宋体" w:cs="宋体"/>
                <w:kern w:val="0"/>
                <w:sz w:val="18"/>
                <w:szCs w:val="18"/>
              </w:rPr>
              <w:br w:type="page"/>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房地产经纪机构签订房地产经纪服务合同前，不向交易当事人说明和书面告知规定事项</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房地产经纪机构未按照规定如实记录业务情况或者保存房地产经纪服务合同</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房地产经纪机构擅自对外发布房源信息</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房地产经纪机构擅自划转客户交易结算资金</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r>
              <w:rPr>
                <w:rFonts w:hint="eastAsia" w:ascii="宋体" w:hAnsi="宋体" w:eastAsia="宋体" w:cs="宋体"/>
                <w:kern w:val="0"/>
                <w:sz w:val="18"/>
                <w:szCs w:val="18"/>
              </w:rPr>
              <w:br w:type="page"/>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房地产经纪机构和房地产经纪人员以隐瞒、欺诈、胁迫、贿赂等不正当手段招揽业务，诱骗消费者交易或者强制交易</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房地产经纪机构和房地产经纪人员泄露或者不当使用委托人的个人信息或者商业秘密，谋取不正当利益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为交易当事人规避房屋交易税费等非法目的，房地产经纪机构和房地产经纪人员就同一房屋签订不同交易价款的合同提供便利</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房地产经纪机构和房地产经纪人员改变房屋内部结构分割出租</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r>
              <w:rPr>
                <w:rFonts w:hint="eastAsia" w:ascii="宋体" w:hAnsi="宋体" w:eastAsia="宋体" w:cs="宋体"/>
                <w:kern w:val="0"/>
                <w:sz w:val="18"/>
                <w:szCs w:val="18"/>
              </w:rPr>
              <w:br w:type="page"/>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房地产经纪机构和房地产经纪人员侵占、挪用房地产交易资金</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房地产经纪机构和房地产经纪人员承购、承租自己提供经纪服务的房屋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房地产经纪机构和房地产经纪人员为不符合交易条件的保障性住房和禁止交易的房屋提供经纪服务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房地产经纪机构和房地产经纪人员做出法律、法规禁止的其他行为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r>
              <w:rPr>
                <w:rFonts w:hint="eastAsia" w:ascii="宋体" w:hAnsi="宋体" w:eastAsia="宋体" w:cs="宋体"/>
                <w:kern w:val="0"/>
                <w:sz w:val="18"/>
                <w:szCs w:val="18"/>
              </w:rPr>
              <w:br w:type="page"/>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申请人隐瞒有关情况或者提供虚假材料申请房地产估价机构资质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以欺骗、贿赂等不正当手段取得房地产估价机构资质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未取得房地产估价机构资质从事房地产估价活动或者超越资质等级承揽估价业务    </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房地产估价机构不及时办理资质证书变更手续</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r>
              <w:rPr>
                <w:rFonts w:hint="eastAsia" w:ascii="宋体" w:hAnsi="宋体" w:eastAsia="宋体" w:cs="宋体"/>
                <w:kern w:val="0"/>
                <w:sz w:val="18"/>
                <w:szCs w:val="18"/>
              </w:rPr>
              <w:br w:type="page"/>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一级资质房地产估价机构不按规定设立分支机构，或二、三级资质房地产估价机构设立分支机构</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房地产估价机构不按照规定条件设立分支机构</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房地产估计机构新设立的分支机构不备案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房地产估价机构不按规定承揽业务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r>
              <w:rPr>
                <w:rFonts w:hint="eastAsia" w:ascii="宋体" w:hAnsi="宋体" w:eastAsia="宋体" w:cs="宋体"/>
                <w:kern w:val="0"/>
                <w:sz w:val="18"/>
                <w:szCs w:val="18"/>
              </w:rPr>
              <w:br w:type="page"/>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房地产估价机构不按规定出具估价报告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房地产估价机构及其估价人员应当回避未回避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房地产估价机构涂改、倒卖、出租、出借或者以其他形式非法转让资质证书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房地产估价机构超越资质等级业务范围承接房地产估价业务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r>
              <w:rPr>
                <w:rFonts w:hint="eastAsia" w:ascii="宋体" w:hAnsi="宋体" w:eastAsia="宋体" w:cs="宋体"/>
                <w:kern w:val="0"/>
                <w:sz w:val="18"/>
                <w:szCs w:val="18"/>
              </w:rPr>
              <w:br w:type="page"/>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房地产估价机构以迎合高估或者低估要求、给予回扣、恶意压低收费等方式进行不正当竞争</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房地产估价机构违反房地产估价规范和标准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房地产估价机构出具有虚假记载、误导性陈述或者重大遗漏的估价报告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房地产估价机构擅自设立分支机构</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r>
              <w:rPr>
                <w:rFonts w:hint="eastAsia" w:ascii="宋体" w:hAnsi="宋体" w:eastAsia="宋体" w:cs="宋体"/>
                <w:kern w:val="0"/>
                <w:sz w:val="18"/>
                <w:szCs w:val="18"/>
              </w:rPr>
              <w:br w:type="page"/>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房地产估价机构未经委托人书面同意，擅自转让受托的估价业务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房地产估价机构有法律、法规禁止的其他行为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公共租赁住房的所有权人及其委托的运营单位向不符合条件的对象出租公共租赁住房的</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公共租赁住房的所有权人及其委托的运营单位未履行公共租赁住房及其配套设施维修养护义务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r>
              <w:rPr>
                <w:rFonts w:hint="eastAsia" w:ascii="宋体" w:hAnsi="宋体" w:eastAsia="宋体" w:cs="宋体"/>
                <w:kern w:val="0"/>
                <w:sz w:val="18"/>
                <w:szCs w:val="18"/>
              </w:rPr>
              <w:br w:type="page"/>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公共租赁住房的所有权人及其委托的运营单位改变公共租赁住房的保障性住房性质、用途，以及配套设施的规划用途</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申请人隐瞒有关情况或者提供虚假材料申请公共租赁住房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申请人以欺骗等不正手段，登记为轮候对象或者承租公共租赁住房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承租人转借、转租或者擅自调换所承租公共租赁住房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r>
              <w:rPr>
                <w:rFonts w:hint="eastAsia" w:ascii="宋体" w:hAnsi="宋体" w:eastAsia="宋体" w:cs="宋体"/>
                <w:kern w:val="0"/>
                <w:sz w:val="18"/>
                <w:szCs w:val="18"/>
              </w:rPr>
              <w:br w:type="page"/>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承租人改变所承租公共租赁住房用途</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承租人破坏或者擅自装修所承租公共租赁住房，拒不恢复原状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承租人在公共租赁住房内从事违法活动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承租人无正当理由连续6个月以上闲置公共租赁住房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r>
              <w:rPr>
                <w:rFonts w:hint="eastAsia" w:ascii="宋体" w:hAnsi="宋体" w:eastAsia="宋体" w:cs="宋体"/>
                <w:kern w:val="0"/>
                <w:sz w:val="18"/>
                <w:szCs w:val="18"/>
              </w:rPr>
              <w:br w:type="page"/>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房地产经纪机构及其经纪人员提供公共租赁住房出租、转租、出售等经纪业务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《房地产经纪管理办法》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出租属于违法建筑的房屋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出租不符合安全、防灾等工程建设强制性标准的房屋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出租违反规定改变房屋使用性质的房屋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r>
              <w:rPr>
                <w:rFonts w:hint="eastAsia" w:ascii="宋体" w:hAnsi="宋体" w:eastAsia="宋体" w:cs="宋体"/>
                <w:kern w:val="0"/>
                <w:sz w:val="18"/>
                <w:szCs w:val="18"/>
              </w:rPr>
              <w:br w:type="page"/>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出租法律、法规规定禁止出租的房屋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未以原设计的房间为最小出租单位，或人均租住建筑面积低于当地人民政府规定的最低标准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出租厨房、卫生间、阳台和地下储藏室供人员居住</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房屋租赁合同订立后三十日内，房屋租赁当事人未按规定办理房屋租赁登记备案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房屋租赁登记备案内容发生变化、续租或者租赁终止后三十日内，当事人未按规定办理房屋租赁登记备案的变更、延续或者注销手续</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公有住房售房单位未按规定交存首期住宅专项维修资金</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未按规定交存首期住宅专项维修资金，公有住房售房单位将房屋交付买受人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公有住房售房单位未按规定分摊维修、更新、改造费用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未按规定交存首期住宅专项维修资金，开发建设单位将房屋交付买受人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开发建设单位未按规定分摊维修、更新和改造费用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挪用住宅专项维修资金</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城市低收入住房困难家庭隐瞒有关情况或者提供虚假材料申请廉租住房保障</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《廉租住房保障办法》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对以欺骗等不正当手段，取得审核同意或者获得廉租住房保障</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《廉租住房保障办法》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隐瞒有关情况或者提供虚假材料申请房地产估价师注册</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注册房地产估价师聘用单位为申请人提供虚假注册材料</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以欺骗、贿赂等不正当手段取得注册证书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未经注册，擅自以注册房地产估价师名义从事房地产估价活动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注册房地产估价师未办理变更注册仍执业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注册房地产估价师不履行注册房地产估价师义务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注册房地产估价师在执业过程中，索贿、受贿或者谋取合同约定费用外的其他利益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注册房地产估价师在执业过程中实施商业贿赂</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注册房地产估价师签署有虚假记载、误导性陈述或者重大遗漏的估价报告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注册房地产估价师在估价报告中隐瞒或者歪曲事实</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注册房地产估价师允许他人以自己的名义从事房地产估价业务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注册房地产估价师同时在2个或者2个以上房地产估价机构执业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注册房地产估价师以个人名义承揽房地产估价业务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注册房地产估价师涂改、出租、出借或者以其他形式非法转让注册证书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注册房地产估价师超出聘用单位业务范围从事房地产估价活动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注册房地产估价师严重损害他人利益、名誉的行为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注册房地产估价师有法律、法规禁止的其他行为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注册房地产估价师或者其聘用单位未按照要求提供房地产估价师信用档案信息</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开发企业未取得《商品房预售许可证》预售商品房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《城市商品房预售管理办法》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《城市房地产开发经营管理条例》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开发企业不按规定使用商品房预售款项</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《城市商品房预售管理办法》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开发企业隐瞒有关情况、提供虚假材料，或者采用欺骗、贿赂等不正当手段取得商品房预售许可</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《城市商品房预售管理办法》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不具备条件的单位从事白蚁防治业务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《城市房屋白蚁防治管理规定》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白蚁防治单位未建立健全白蚁防治质量保证体系，未严格按照国家和地方有关城市房屋白蚁防治的施工技术规范和操作程序进行防治</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《城市房屋白蚁防治管理规定》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白蚁防治单位违反规定，使用不合格药物</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《城市房屋白蚁防治管理规定》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房地产开发企业在进行商品房销(预)售时未向购房人出具该项目的《白蚁预防合同》或者其他实施房屋白蚁预防的证明文件，或提供的《住宅质量保证书》中未包括白蚁预防质量保证的内容</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《城市房屋白蚁防治管理规定》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原有房屋和超过白蚁预防包治期限的房屋发生蚁害的，房屋所有人、使用人或者房屋管理单位未委托白蚁防治单位进行灭治或未配合白蚁防治单位进行白蚁的检查和灭治工作</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《城市房屋白蚁防治管理规定》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装修人未申报登记进行住宅室内装饰装修活动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装修人将住宅室内装饰装修工程委托给不具有相应资质等级企业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将没有防水要求的房间或者阳台改为卫生间、厨房间的，或者拆除连接阳台的砖、混凝土墙体</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损坏房屋原有节能设施或者降低节能效果</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擅自拆改供暖、燃气管道和设施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未经原设计单位或者具有相应资质等级的设计单位提出设计方案，擅自超过设计标准或者规范增加楼面荷载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装饰装修企业违反国家有关安全生产规定和安全生产技术规程，不按照规定采取必要的安全防护和消防措施，擅自动用明火作业和进行焊接作业，或者对建筑安全事故隐患不采取措施予以消除</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物业管理单位发现装修人或者装饰装修企业有违反规定的行为不及时向有关部门报告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将安装有淘汰便器水箱和配件的新建房屋验收交付使用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《城市房屋便器水箱应用监督管理办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未按更新改造计划更换淘汰便器水箱和配件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《城市房屋便器水箱应用监督管理办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在限定的期限内未更换淘汰便器水箱和配件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《城市房屋便器水箱应用监督管理办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对漏水严重的房屋便器水箱和配件未按期进行维修或者更新</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《城市房屋便器水箱应用监督管理办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在利用房地产权属档案的过程中，损毁、丢失、涂改、伪造房地产权属档案或者擅自提供、抄录、公布、销毁房地产权属档案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《城市房地产权属档案管理办法》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企事业组织或者个人擅自出卖或者转让房地产权属档案的</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《城市房地产权属档案管理办法》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未取得房地产开发企业资质证书，擅自销售商品房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在未解除商品房买卖合同前，将作为合同标的物的商品房再行销售给他人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房地产开发企业将未组织竣工验收、验收不合格或者对不合格按合格验收的商品房擅自交付使用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房地产开发企业未按规定将测绘成果或者需要由其提供的办理房屋权属登记的资料报送房地产行政主管部门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房地产开发企业在销售商品房中未按照规定的现售条件现售商品房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房地产开发企业在销售商品房中未按照规定在商品房现售前将房地产开发项目手册及符合商品房现售条件的有关证明文件报送房地产开发主管部门备案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房地产开发企业在销售商品房中返本销售或者变相返本销售商品房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房地产开发企业在销售商品房中在销售商品房中采取售后包租或者变相售后包租方式销售未竣工商品房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房地产开发企业在销售商品房中分割拆零销售商品住宅</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房地产开发企业在销售商品房中不符合商品房销售条件，向买受人收取预订款性质费用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房地产开发企业在销售商品房中未按照规定向买受人明示《商品房销售管理办法》、《商品房买卖合同示范文本》、《城市商品房预售管理办法》</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房地产开发企业在销售商品房中委托没有资格的机构代理销售商品房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房地产中介服务机构代理销售不符合销售条件的商品房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企业未取得资质证书从事房地产开发经营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企业超越资质等级从事房地产开发经营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企业隐瞒真实情况、弄虚作假骗取资质证书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企业涂改、出租、出借、转让、出卖资质证书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企业开发建设的项目工程质量低劣，发生重大工程质量事故</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开发企业在商品住宅销售中不按照规定发放《住宅质量保证书》和《住宅使用说明书》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企业不按照规定办理变更手续</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将不准上市出售的已购公有住房和经济适用住房上市出售</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《已购公有住房和经济适用住房上市出售管理暂行办法》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将已购公有住房和经济适用住房上市出售后，该户家庭又以非法手段按照成本价（或者标准价）购买公有住房或者政府提供优惠政策建设的住房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《已购公有住房和经济适用住房上市出售管理暂行办法》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未取得施工许可证或者开工报告未经批准擅自施工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发包单位将工程发包给不具有相应资质条件的承包单位的，或者违反本法规定将建筑工程肢解发包</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超越本单位资质等级承揽工程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未取得资质证书承揽工程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《建设工程勘察设计管理条例》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以欺骗手段取得资质证书承揽工程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《建设工程勘察设计管理条例》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建筑施工企业转让、出借资质证书或者以其他方式允许他人以本企业的名义承揽工程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承包单位将承包的工程转包，或者违法分包</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在工程发包与承包中索贿、受贿、行贿，且不构成犯罪</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工程监理单位与建设单位或者建筑施工企业串通，弄虚作假、降低工程质量</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工程监理单位转让监理业务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涉及建筑主体或者承重结构变动的装修工程擅自施工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建筑施工企业对建筑安全事故隐患不采取措施予以消除</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建设单位要求建筑设计单位或者建筑施工企业违反建筑工程质量、安全标准，降低工程质量</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建筑设计单位不按照建筑工程质量、安全标准进行设计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建筑施工企业在施工中偷工减料，使用不合格的建筑材料、建筑构配件和设备，或者有其他不按照工程设计图纸或者施工技术标准施工的行为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建筑施工企业不履行保修义务或者拖延履行保修义务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建设单位违反建筑节能标准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《中华人民共和国节约能源法》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设计单位、施工单位、监理单位违反建筑节能标准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《中华人民共和国节约能源法》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房地产开发企业在销售房屋时未向购买人明示所售房屋的节能措施、保温工程保修期等信息；或对以上信息作虚假宣传</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《中华人民共和国节约能源法》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建设单位将建设工程发包给不具有相应资质等级的勘察、设计、施工单位或者委托给不具有相应资质等级的工程监理单位</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将建筑工程肢解发包</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建设单位迫使承包方以低于成本的价格竞标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建设单位任意压缩合理工期</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建设单位明示或者暗示设计单位或者施工单位违反工程建设强制性标准，降低工程质量</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《实施工程建设强制性标准监督规</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定》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建设单位施工图设计文件未经审查或者审查不合格，擅自施工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建设项目必须实行工程监理而未实行工程监理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建设单位未按照国家规定办理工程质量监督手续</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建设单位明示或者暗示施工单位使用不合格的建筑材料、建筑构配件和设备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《实施工程建设强制性标准监督规</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建设单位未按照国家规定将竣工验收报告、有关认可文件或者准许使用文件报送备案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未组织竣工验收，建设单位擅自交付使用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验收不合格，建设单位擅自交付使用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建设单位对不合格的建设工程按照合格工程验收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建设工程竣工验收后，建设单位未向建设行政主管部门或者其他有关部门移交建设项目档案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勘察、设计、施工、工程监理单位允许其他单位或者个人以本单位名义承揽工程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工程监理单位转让工程监理业务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勘察单位未按照工程建设强制性标准进行勘察</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《建设工程勘察设计管理条例》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设计单位未根据勘察成果文件进行工程设计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《建设工程勘察设计管理条例》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设计单位指定建筑材料、建筑构配件的生产厂、供应商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《建设工程勘察设计管理条例》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设计单位未按照工程建设强制性标准进行设计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《建设工程勘察设计管理条例》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施工单位在施工中偷工减料；使用不合格的建筑材料、建筑构配件和设备；或者有不按照工程设计图纸或者施工技术标准施工的其他行为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施工单位未对建筑材料、建筑构配件、设备和商品混凝土进行检验，或者未对涉及结构安全的试块、试件以及有关材料取样检测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工程监理单位与建设单位或者施工单位串通，弄虚作假、降低工程质量</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工程监理单位将不合格的工程、建筑材料、构配件和设备按照合格签字</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工程监理单位与被监理工程的施工承包单位以及建筑材料、建筑构配件和设备供应单位有隶属关系或者其他利害关系承担该项建设工程的监理业务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涉及建筑主体或者承重结构变动的装修工程，没有设计方案擅自施工；房屋建筑使用者在装修过程中擅自变动房屋建筑主体和承重结构</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注册建筑师、注册结构工程师、监理工程师等注册执业人员因过错造成质量事故</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建设单位未提供建设工程安全生产作业环境及安全施工措施所需费用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建设单位未将保证安全施工的措施或者拆除工程的有关资料报送有关部门备案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建设单位对勘察、设计、施工、工程监理等单位提出不符合安全生产法律、法规和强制性标准规定要求</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建设单位要求施工单位压缩合同约定的工期</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建设单位将拆除工程发包给不具有相应资质等级的施工单位</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勘察单位、设计单位未按照法律、法规和工程建设强制性标准进行勘察、设计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采用新结构、新材料、新工艺的建设工程和特殊结构的建设工程，设计单位未在设计中提出保障施工作业人员安全和预防生产安全事故的措施建议</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工程监理单位未对施工组织设计中的安全技术措施或者专项施工方案进行审查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工程监理单位发现安全事故隐患未及时要求施工单位整改或者暂时停止施工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施工单位拒不整改或者不停止施工，工程监理单位未及时向有关主管部门报告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工程监理单位未依照法律、法规和工程建设强制性标准实施监理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注册执业人员未执行法律、法规和工程建设强制性标准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为建设工程提供机械设备和配件的单位，未按照安全施工的要求配备齐全有效的保险、限位等安全设施和装置</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出租单位出租未经安全性能检测或者经检测不合格的机械设备和施工机具及配件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施工起重机械和整体提升脚手架、模板等自升式架设设施安装、拆卸单位未编制拆装方案、制定安全施工措施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施工起重机械和整体提升脚手架、模板等自升式架设设施安装、拆卸单位未由专业技术人员现场监督</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施工起重机械和整体提升脚手架、模板等自升式架设设施安装、拆卸单位未出具自检合格证明或者出具虚假证明</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施工起重机械和整体提升脚手架、模板等自升式架设设施安装、拆卸单位未向施工单位进行安全使用说明，办理移交手续</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施工单位未设立安全生产管理机构、配备专职安全生产管理人员或者分部分项工程施工时无专职安全生产管理人员现场监督</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施工单位的主要负责人、项目负责人、专职安全生产管理人员、作业人员或者特种作业人员，未经安全教育培训或者经考核不合格即从事相关工作</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施工单位未在施工现场的危险部位设置明显的安全警示标志，或者未按照国家有关规定在施工现场设置消防通道、消防水源、配备消防设施和灭火器材</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施工单位未向作业人员提供安全防护用具和安全防护服装</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施工单位未按照规定在施工起重机械和整体提升脚手架、模板等自升式架设设施验收合格后登记</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施工单位使用国家明令淘汰、禁止使用的危及施工安全的工艺、设备、材料</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施工单位挪用列入建设工程概算的安全生产作业环境及安全施工措施所需费用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施工单位施工前未对有关安全施工的技术要求作出详细说明</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施工单位未根据不同施工阶段和周围环境及季节、气候的变化，在施工现场采取相应的安全施工措施，或者在城市市区内的建设工程的施工现场未实行封闭围挡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施工单位在尚未竣工的建筑物内设置员工集体宿舍</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施工现场临时搭建的建筑物不符合安全使用要求</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施工单位未对因建设工程施工可能造成损害的毗邻建筑物、构筑物和地下管线等采取专项防护措施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安全防护用具、机械设备、施工机具及配件在进入施工现场前未经查验或者查验不合格施工单位即投入使用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施工单位使用未经验收或者验收不合格的施工起重机械和整体提升脚手架、模板等自升式架设设施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施工单位委托不具有相应资质的单位承担施工现场安装、拆卸施工起重机械和整体提升脚手架、模板等自升式架设设施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施工单位在施工组织设计中未编制安全技术措施、施工现场临时用电方案或者专项施工方案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施工单位的主要负责人、项目负责人未履行安全生产管理职责</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不服管理、违反规章制度和操作规程冒险作业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施工单位取得资质证书后，降低安全生产条件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建设工程勘察、设计单位超越其资质等级许可的范围或者以其他建设工程勘察、设计单位的名义承揽建设工程勘察、设计业务；允许其他单位或者个人以本单位的名义承揽建设工程勘察、设计业务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未经注册，擅自以注册建设工程勘察、设计人员的名义从事建设工程勘察、设计活动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建设工程勘察、设计注册执业人员和其他专业技术人员未受聘于一个建设工程勘察、设计单位或者同时受聘于两个以上建设工程勘察、设计单位，从事建设工程勘察、设计活动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发包方将建设工程勘察、设计业务发包给不具有相应资质等级的建设工程勘察、设计单位</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建设工程勘察、设计单位将所承揽的建设工程勘察、设计转包</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勘察、设计单位未依据项目批准文件，城乡规划及专业规划，国家规定的建设工程勘察、设计深度要求编制建设工程勘察、设计文件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建设单位明示或者暗示设计单位、施工单位违反民用建筑节能强制性标准进行设计、施工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建设单位明示或者暗示施工单位使用不符合施工图设计文件要求的墙体材料、保温材料、门窗、采暖制冷系统和照明设备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建设单位采购不符合施工图设计文件要求的墙体材料、保温材料、门窗、采暖制冷系统和照明设备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建设单位使用列入禁止使用目录的技术、工艺、材料和设备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建设单位对不符合民用建筑节能强制性标准的民用建筑项目出具竣工验收合格报告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设计单位未按照民用建筑节能强制性标准进行设计，或者使用列入禁止使用目录的技术、工艺、材料和设备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施工单位未按照民用建筑节能强制性标准进行施工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施工单位未对进入施工现场的墙体材料、保温材料、门窗、采暖制冷系统和照明设备进行查验</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施工单位使用不符合施工图设计文件要求的墙体材料、保温材料、门窗、采暖制冷系统和照明设备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施工单位使用列入禁止使用目录的技术、工艺、材料和设备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工程监理单位未按照民用建筑节能强制性标准实施监理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墙体、屋面的保温工程施工时，工程监理单位未采取旁站、巡视和平行检验等形式实施监理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对不符合施工图设计文件要求的墙体材料、保温材料、门窗、采暖制冷系统和照明设备，工程监理单位按照符合施工图设计文件要求签字</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房地产开发企业销售商品房，未向购买人明示所售商品房的能源消耗指标、节能措施和保护要求、保温工程保修期等信息，或者向购买人明示的所售商品房能源消耗指标与实际能源消耗不符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注册执业人员未执行民用建筑节能强制性标准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以不正当手段取得注册建筑师考试合格资格或者注册建筑师证书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未经注册擅自以注册建筑师名义从事注册建筑师业务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注册建筑师以个人名义承接注册建筑师业务、收取费用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注册建筑师同时受聘于二个以上建筑设计单位执行业务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注册建筑师在建筑设计或者相关业务中侵犯他人合法权益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注册建筑师准许他人以本人名义执行业务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二级注册建筑师以一级注册建筑师的名义执行业务或者超越国家规定的执业范围执行业务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注册建筑师因建筑设计质量不合格发生重大责任事故，造成重大损失</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房地产价格评估机构或者房地产估价师出具虚假或者有重大差错的评估报告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《国有土地上房屋征收与补偿条例》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在村庄、集镇规划区内，未按规划审批程序批准或者违反规划的规定进行建设，严重影响村庄、集镇规划</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未取得设计资质证书，承担建筑跨度、跨径和高度超出规定范围的工程以及2层以上住宅的设计任务或者未按设计资质证书规定的经营范围，承担设计任务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《建制镇规划建设管理办法》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未取得施工资质等级证书或者资质审查证书或者未按规定的经营范围，承担施工任务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《建制镇规划建设管理办法》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不按有关技术规定施工或者使用不符合工程质量要求的建筑材料和建筑构件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《建制镇规划建设管理办法》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未按设计图纸施工或者擅自修改设计图纸</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《建制镇规划建设管理办法》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取得设计或者施工资质证书的勘察设计、施工单位，为无证单位提供资质证书，超过规定的经营范围，承担设计、施工任务或者设计、施工的质量不符合要求，情节严重</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建设单位未按照本规定提供工程周边环境等资料</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建设单位未按照本规定在招标文件中列出危大工程清单</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建设单位未按照施工合同约定及时支付危大工程施工技术措施费或者相应的安全防护文明施工措施费</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建设单位未按照本规定委托具有相应勘察资质的单位进行第三方监测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建设单位未对第三方监测单位报告的异常情况组织采取处置措施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勘察单位未在勘察文件中说明地质条件可能造成的工程风险</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设计单位未在设计文件中注明涉及危大工程的重点部位和环节，未提出保障工程周边环境安全和工程施工安全的意见的</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施工单位未按照本规定编制并审核危大工程专项施工方案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施工单位未对超过一定规模的危大工程专项施工方案进行专家论证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施工单位未根据专家论证报告对超过一定规模的危大工程专项施工方案进行修改，或者未按照本规定重新组织专家论证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施工单位未严格按照专项施工方案组织施工，或者擅自修改专项施工方案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施工单位项目负责人未按照本规定现场履职或者组织限期整改</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施工单位未按照本规定进行施工监测和安全巡视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施工单位未按照本规定组织危大工程验收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发生险情或者事故时，施工单位未采取应急处置措施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施工单位未按照本规定建立危大工程安全管理档案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监理单位的总监理工程师未按照本规定审查危大工程专项施工方案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发现施工单位未按照专项施工方案实施，监理单位未要求其整改或者停工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施工单位拒不整改或者不停止施工时，监理单位未向建设单位和工程所在地住房城乡建设主管部门报告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监理单位未按规定编制监理实施细则</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监理单位未对危大工程施工实施专项巡视检查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监理单位未按规定参与组织危大工程验收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监理单位未按规定建立危大工程安全管理档案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监测单位未取得相应勘察资质从事第三方监测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监测单位未按规定编制监测方案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监测单位未按照监测方案开展监测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监测单位发现异常未及时报告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申请企业隐瞒有关真实情况或者提供虚假材料申请建筑业企业资质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企业以欺骗、贿赂等不正当手段取得建筑业企业资质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企业申请建筑业企业资质升级、资质增项，在申请之日起前一年至资质许可决定作出前，超越本企业资质等级或以其他企业的名义承揽工程，或允许其他企业或个人以本企业的名义承揽工程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企业申请建筑业企业资质升级、资质增项，在申请之日起前一年至资质许可决定作出前，与建设单位或企业之间相互串通投标，或以行贿等不正当手段谋取中标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企业申请建筑业企业资质升级、资质增项，在申请之日起前一年至资质许可决定作出前，未取得施工许可证擅自施工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企业申请建筑业企业资质升级、资质增项，在申请之日起前一年至资质许可决定作出前，将承包的工程转包或违法分包</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企业申请建筑业企业资质升级、资质增项，在申请之日起前一年至资质许可决定作出前，违反国家工程建设强制性标准施工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企业申请建筑业企业资质升级、资质增项，在申请之日起前一年至资质许可决定作出前，恶意拖欠分包企业工程款或者劳务人员工资</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企业申请建筑业企业资质升级、资质增项，在申请之日起前一年至资质许可决定作出前，隐瞒或谎报、拖延报告工程质量安全事故，破坏事故现场、阻碍对事故调查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企业申请建筑业企业资质升级、资质增项，在申请之日起前一年至资质许可决定作出前，按照国家法律、法规和标准规定需要持证上岗的现场管理人员和技术工种作业人员未取得证书上岗</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企业申请建筑业企业资质升级、资质增项，在申请之日起前一年至资质许可决定作出前，未依法履行工程质量保修义务或拖延履行保修义务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企业申请建筑业企业资质升级、资质增项，在申请之日起前一年至资质许可决定作出前，伪造、变造、倒卖、出租、出借或者以其他形式非法转让建筑业企业资质证书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企业申请建筑业企业资质升级、资质增项，在申请之日起前一年至资质许可决定作出前，发生过较大以上质量安全事故或者发生过两起以上一般质量安全事故</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企业申请建筑业企业资质升级、资质增项，在申请之日起前一年至资质许可决定作出前，有其它违反法律、法规的行为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企业未按照规定及时办理建筑业企业资质证书变更手续</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企业在接受监督检查时，不如实提供有关材料，或者拒绝、阻碍监督检查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企业未按照规定要求提供企业信用档案信息</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未取得建筑业企业资质承接分包工程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《房屋建筑和市政基础设施工程施工分包管理办法》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未取得施工许可证或者为规避办理施工许可证将工程项目分解后擅自施工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《建筑工程施工许可管理办法》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建设单位采用欺骗、贿赂等不正当手段取得施工许可证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《建筑工程施工许可管理办法》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建设单位隐瞒有关情况或者提供虚假材料申请施工许可证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《建筑工程施工许可管理办法》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建设单位伪造或者涂改施工许可证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《建筑工程施工许可管理办法》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“安管人员”隐瞒有关情况或者提供虚假材料申请安全生产考核</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“安管人员”以欺骗、贿赂等不正当手段取得安全生产考核合格证书    </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299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“安管人员”涂改、倒卖、出租、出借或者以其他形式非法转让安全生产考核合格证书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建筑施工企业未按规定开展“安管人员”安全生产教育培训考核，或者未按规定如实将考核情况记入安全生产教育培训档案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建筑施工企业未按规定设立安全生产管理机构</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建筑施工企业未按规定配备专职安全生产管理人员</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危险性较大的分部分项工程施工时建筑施工企业未安排专职安全生产管理人员现场监督</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“安管人员”未取得安全生产考核合格证书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“安管人员”未按规定办理证书变更</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主要负责人、项目负责人未按规定履行安全生产管理职责</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专职安全生产管理人员未按规定履行安全生产管理职责</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工程造价咨询企业在建筑工程计价活动中，出具有虚假记载、误导性陈述的工程造价成果文件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《建筑工程施工发包与承包计价管理办法》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审查机构列入名录后不再符合规定条件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审查机构超出范围从事施工图审查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审查机构使用不符合条件审查人员</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审查机构未按规定的内容进行审查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审查机构未按规定上报审查过程中发现的违法违规行为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审查机构未按规定填写审查意见告知书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审查机构未按规定在审查合格书和施工图上签字盖章</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审查机构已出具审查合格书的施工图，仍有违反法律、法规和工程建设强制性标准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审查机构出具虚假审查合格书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审查人员在虚假审查合格书上签字</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建设单位压缩合理审查周期的</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建设单位提供不真实送审资料</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建设单位对审查机构提出不符合法律、法规和工程建设强制性标准要求</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建设单位在工程竣工验收合格之日起15日内未办理工程竣工验收备案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《房屋建筑和市政基础设施工程竣工验收备案管理办法》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建设单位将备案机关决定重新组织竣工验收的工程，在重新组织竣工验收前，擅自使用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《房屋建筑和市政基础设施工程竣工验收备案管理办法》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建设单位采用虚假证明文件办理工程竣工验收备案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《房屋建筑和市政基础设施工程竣工验收备案管理办法》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隐瞒有关情况或者提供虚假材料申请注册</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《中华人民共和国注册建筑师条例实施细则》、《注册建造师管理规定》、《注册监理工程师管理规定》、《勘察设计注册工程师管理规定》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以欺骗、贿赂等不正当手段取得注册证书和执业印章</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《中华人民共和国注册建筑师条例实施细则》</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出租单位、自购建筑起重机械的使用单位未按照规定办理备案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出租单位、自购建筑起重机械的使用单位未按照规定办理注销手续</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出租单位、自购建筑起重机械的使用单位未按照规定建立建筑起重机械安全技术档案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安装单位未按照安全技术标准及安装使用说明书等检查建筑起重机械及现场施工条件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安装单位未制定建筑起重机械安装、拆卸工程生产安全事故应急救援预案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安装单位未将建筑起重机械安装、拆卸工程专项施工方案，安装、拆卸人员名单，安装、拆卸时间等材料报施工总承包单位和监理单位审核后，告知工程所在地县级以上地方人民政府建设主管部门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安装单位未按照规定建立建筑起重机械安装、拆卸工程档案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安装单位未按照建筑起重机械安装、拆卸工程专项施工方案及安全操作规程组织安装、拆卸作业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使用单位未根据不同施工阶段、周围环境以及季节、气候的变化，对建筑起重机械采取相应的安全防护措施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使用单位未制定建筑起重机械生产安全事故应急救援预案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使用单位未设置相应的设备管理机构或者配备专职的设备管理人员</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建筑起重机械出现故障或者发生异常情况时，使用单位未立即停止使用，或未待消除故障和事故隐患后，再重新投入使用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使用单位未指定专职设备管理人员进行现场监督检查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使用单位擅自在建筑起重机械上安装非原制造厂制造的标准节和附着装置</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施工总承包单位未向安装单位提供拟安装设备位置的基础施工资料，确保建筑起重机械进场安装、拆卸所需的施工条件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施工总承包单位未审核安装单位、使用单位的资质证书、安全生产许可证和特种作业人员的特种作业操作资格证书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施工总承包单位未审核安装单位制定的建筑起重机械安装、拆卸工程专项施工方案和生产安全事故应急救援预案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施工总承包单位未审核使用单位制定的建筑起重机械生产安全事故应急救援预案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施工现场有多台塔式起重机作业时，施工单位未组织制定并实施防止塔式起重机相互碰撞的安全措施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监理单位未审核建筑起重机械特种设备制造许可证、产品合格证、制造监督检验证明、备案证明等文件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监理单位未审核建筑起重机械安装单位、使用单位的资质证书、安全生产许可证和特种作业人员的特种作业操作资格证书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监理单位未监督安装单位执行建筑起重机械安装、拆卸工程专项施工方案情况</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监理单位未监督检查建筑起重机械的使用情况</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建设单位未按照规定协调组织制定防止多台塔式起重机相互碰撞的安全措施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接到监理单位报告后，建设单位未责令安装单位、使用单位立即停工整改</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建设单位未为勘察工作提供必要的现场工作条件或者未提供真实、可靠原始资料</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工程勘察企业未按照工程建设强制性标准进行勘察、弄虚作假、提供虚假成果资料</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工程勘察企业勘察文件没有责任人签字或者签字不全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工程勘察企业原始记录不按照规定记录或者记录不完整</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工程勘察企业不参加施工验槽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项目完成后，工程勘察企业勘察文件不归档保存</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企业隐瞒有关情况或者提供虚假材料申请资质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企业以欺骗、贿赂等不正当手段取得资质证书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企业不及时办理资质证书变更手续</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企业未按照规定提供信用档案信息</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企业涂改、倒卖、出租、出借或者以其他形式非法转让资质证书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申请人隐瞒有关情况或者提供虚假材料申请工程监理企业资质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工程监理企业以欺骗、贿赂等不正当手段取得工程监理企业资质证书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工程监理企业在监理过程中实施商业贿赂</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工程监理企业涂改、伪造、出借、转让工程监理企业资质证书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工程监理企业不及时办理资质证书变更手续</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工程监理企业未按照要求提供工程监理企业信用档案信息</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以欺骗、贿赂等不正当手段取得注册证书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未取得注册证书和执业印章，担任大中型建设工程项目施工单位项目负责人，或者以注册建造师的名义从事相关活动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注册建造师、注册造价工程师、注册监理工程师未办理变更注册而继续执业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注册建造师在执业活动中不履行注册建造师义务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注册建造师在执业活动中索贿、受贿或者谋取合同约定费用外的其他利益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注册建造师在执业活动中在执业过程中实施商业贿赂</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注册建造师在执业活动中签署有虚假记载等不合格的文件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注册建造师在执业活动中允许他人以自己的名义从事执业活动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注册建造师在执业活动中同时在两个或者两个以上单位受聘或者执业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注册建造师在执业活动中涂改、倒卖、出租、出借或以其他形式非法转让资格证书、注册证书和执业印章</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注册建造师在执业活动中超出执业范围和聘用单位业务范围内从事执业活动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注册建造师在执业活动中法律、法规、规章禁止的其他行为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注册建造师或者其聘用单位未按照要求提供注册建造师信用档案信息</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聘用单位为申请人提供虚假注册材料</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《注册造价工程师管理办法》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隐瞒有关情况或者提供虚假材料申请造价工程师注册</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以欺骗、贿赂等不正当手段取得造价工程师注册</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未经注册而以注册造价工程师的名义从事工程造价活动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注册造价工程师不履行注册造价工程师义务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注册造价工程师在执业过程中，索贿、受贿或者谋取合同约定费用外的其他利益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注册造价工程师在执业过程中实施商业贿赂</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注册造价工程师签署有虚假记载、误导性陈述的工程造价成果文件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注册造价工程师以个人名义承接工程造价业务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注册造价工程师允许他人以自己名义从事工程造价业务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注册造价工程师同时在两个或者两个以上单位执业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注册造价工程师涂改、倒卖、出租、出借或者以其他形式非法转让注册证书或者执业印章</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注册造价工程师有法律、法规、规章禁止的其他行为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注册造价工程师或者其聘用单位未按照要求提供造价工程师信用档案信息</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申请人隐瞒有关情况或者提供虚假材料申请工程造价咨询企业资质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以欺骗、贿赂等不正当手段取得工程造价咨询企业资质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未取得工程造价咨询企业资质从事工程造价咨询活动或者超越资质等级承接工程造价咨询业务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399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工程造价咨询企业不及时办理资质证书变更手续</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工程造价咨询企业新设立分支机构不备案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工程造价咨询企业跨省、自治区、直辖市承接业务不备案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工程造价咨询企业涂改、倒卖、出租、出借资质证书，或者以其他形式非法转让资质证书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工程造价咨询企业超越资质等级业务范围承接工程造价咨询业务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工程造价咨询企业同时接受招标人和投标人或两个以上投标人对同一工程项目的工程造价咨询业务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工程造价咨询企业以给予回扣、恶意压低收费等方式进行不正当竞争</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工程造价咨询企业转包承接的工程造价咨询业务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法律、法规禁止的其他行为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擅自使用没有国家技术标准又未经审定的新技术、新材料</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《房屋建筑工程抗震设防管理规定》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擅自变动或者破坏房屋建筑抗震构件、隔震装置、减震部件或者地震反应观测系统等抗震设施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《房屋建筑工程抗震设防管理规定》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未对抗震能力受损、荷载增加或者需提高抗震设防类别的房屋建筑工程，进行抗震验算、修复和加固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《房屋建筑工程抗震设防管理规定》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鉴定需抗震加固的房屋建筑工程在进行装修改造时未进行抗震加固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《房屋建筑工程抗震设防管理规定》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以欺骗、贿赂等不正当手段取得注册证书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未经注册，擅自以注册监理工程师的名义从事工程监理及相关业务活动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注册监理工程师在执业活动中以个人名义承接业务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注册监理工程师在执业活动中涂改、倒卖、出租、出借或者以其他形式非法转让注册证书或者执业印章</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注册监理工程师在执业活动中泄露执业中应当保守的秘密并造成严重后果</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注册监理工程师在执业活动中超出规定执业范围或者聘用单位业务范围从事执业活动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注册监理工程师在执业活动中弄虚作假提供执业活动成果    </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注册监理工程师在执业活动中同时受聘于两个或者两个以上的单位，从事执业活动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注册监理工程师在执业活动中有其它违反法律、法规、规章的行为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建设单位未按照建筑节能强制性标准委托设计，擅自修改节能设计文件，明示或暗示设计单位、施工单位违反建筑节能设计强制性标准，降低工程建设质量</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设计单位未按照建筑节能强制性标准进行设计,且未进行修改；两年内，累计三项工程未按照建筑节能强制性标准设计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施工单位未按照节能设计进行施工；两年内，累计三项工程未按照符合节能标准要求的设计进行施工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未取得相应的资质，擅自承担本办法规定的检测业务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检测机构隐瞒有关情况或者提供虚假材料申请资质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以欺骗、贿赂等不正当手段取得资质证书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检测机构超出资质范围从事检测活动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检测机构涂改、倒卖、出租、出借、转让资质证书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检测机构使用不符合条件的检测人员</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检测机构未按规定上报发现的违法违规行为和检测不合格事项</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检测机构未按规定在检测报告上签字盖章</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检测机构未按照国家有关工程建设强制性标准进行检测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检测机构档案资料管理混乱，造成检测数据无法追溯</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检测机构转包检测业务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检测机构伪造检测数据，出具虚假检测报告或鉴定结论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委托方委托未取得相应资质的检测机构进行检测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委托方明示或暗示检测机构出具虚假检测报告，篡改或伪造检测报告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委托方弄虚作假送检试样</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以欺骗、贿赂等不正当手段取得注册证书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注册工程师在执业活动中以个人名义承接业务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注册工程师在执业活动中涂改、出租、出借或者以形式非法转让注册证书或者执业印章</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注册工程师在执业活动中泄露执业中应当保守的秘密并造成严重后果</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注册工程师在执业活动中超出本专业规定范围或者聘用单位业务范围从事执业活动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注册工程师在执业活动中弄虚作假提供执业活动成果</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注册工程师在执业活动中有其它违反法律、法规、规章的行为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取得安全生产许可证的建筑施工企业，发生重大安全事故</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建筑施工企业未取得安全生产许可证擅自从事建筑施工活动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安全生产许可证有效期满未办理延期手续，继续从事建筑施工活动；逾期仍不办理延期手续，继续从事建筑施工活动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建筑施工企业转让安全生产许可证；接受转让安全生产许可证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建筑施工企业冒用安全生产许可证或使用伪造的安全生产许可证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建筑施工企业隐瞒有关情况或者提供虚假材料申请安全生产许可证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建筑施工企业以欺骗、贿赂等不正当手段取得安全生产许可证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外资建筑业企业超越资质许可的业务范围承包工程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《外商投资建筑业企业管理规定》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施工图设计文件未经审查或者审查不合格，建设单位擅自施工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《超限高层建筑工程抗震设防管理规</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勘察、设计单位未按照抗震设防专项审查意见进行超限高层建筑工程勘察、设计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《超限高层建筑工程抗震设防管理规</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招标人不具备自行办理施工招标事宜条件而自行招标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《房屋建筑和市政基础设施工程施工招标投标管理办法》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勘察、设计单位违反工程建设强制性标准进行勘察、设计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《实施工程建设强制性标准监督规定》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施工单位违反工程建设强制性标准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《实施工程建设强制性标准监督规定》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工程监理单位违反强制性标准规定，将不合格的建设工程以及建筑材料、建筑构配件和设备按照合格签字的</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《实施工程建设强制性标准监督规定》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施工单位在工程竣工验收后，不向建设单位出具质量保修书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《房屋建筑工程质量保修办法》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施工单位关于质量保修的内容、期限违反规定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《房屋建筑工程质量保修办法》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施工单位不履行保修义务或者拖延履行保修义务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《房屋建筑工程质量保修办法》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未按有关规范、标准、规定进行设计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《城市居民住宅安全防范设施建设管理规定》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擅自改动设计文件中安全防范设施内容的</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《城市居民住宅安全防范设施建设管理规定》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使用未经鉴定和鉴定不合格的产品、材料、设备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《城市居民住宅安全防范设施建设管理规定》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安全防范设施未经验收或验收不合格而交付使用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《城市居民住宅安全防范设施建设管理规定》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施工工地未设置硬质密闭围挡，或者未采取覆盖、分段作业、择时施工、洒水抑尘、冲洗地面和车辆等有效防尘降尘措施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建筑土方、工程渣土、建筑垃圾未及时清运，或者未采用密闭式防尘网遮盖</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建设单位未对暂时不能开工的建设用地的裸露地面进行覆盖，或者未对超过三个月不能开工的建设用地的裸露地面进行绿化、铺装或者遮盖</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随意倾倒、抛撒或者堆放生活垃圾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《中华人民共和国固体废物污染环境防治法》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擅自关闭、闲置或者拆除生活垃圾处置设施、场所</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《中华人民共和国固体废物污染环境防治法》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工程施工单位不及时清运施工过程中产生的固体废物，造成环境污染</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《中华人民共和国固体废物污染环境防治法》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工程施工单位不按照环境卫生行政主管部门的规定对施工过程中产生的固体废物进行利用或者处置</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《中华人民共和国固体废物污染环境防治法》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必须进行招标的项目不招标；将必须进行招标的项目化整为零或者以其他任何方式规避招标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招标代理机构泄露应当保密的与招标投标活动有关的情况和资料；或者与招标人、投标人串通损害国家利益、社会公共利益或者他人合法权益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招标人以不合理的条件限制或者排斥潜在投标人；对潜在投标人实行歧视待遇；强制要求投标人组成联合体共同投标；或者限制投标人之间竞争</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《建筑工程设计招标投标管理办法》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依法必须进行招标的项目的招标人向他人透露已获取招标文件的潜在投标人的名称、数量或者可能影响公平竞争的有关招标投标的其他情况；或者泄露标底</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投标人相互串通投标或者与招标人串通投标；投标人以向招标人或者评标委员会成员行贿的手段谋取中标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投标人以他人名义投标或者以其他方式弄虚作假，骗取中标，且尚未构成犯罪</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依法必须进行招标的项目，招标人与投标人就投标价格、投标方案等实质性内容进行谈判</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评标委员会成员收受投标人的财物或者其他好处，评标委员会成员或者参加评标的有关工作人员向他人透露对投标文件的评审和比较、中标候选人的推荐以及与评标有关的其他情况</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《建筑工程设计招标投标管理办法》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招标人在评标委员会依法推荐的中标候选人以外确定中标人；依法必须进行招标的项目在所有投标被评标委员会否决后自行确定中标人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中标人将中标项目转让给他人；将中标项目肢解后分别转让给他人；违反招标投标法和招标投标法实施条例规定将中标项目的部分主体、关键性工作分包给他人；或者分包人再次分包</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招标人与中标人不按照招标文件和中标人的投标文件订立合同，或者招标人、中标人订立背离合同实质性内容的协议</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中标人不按照与招标人订立的合同履行义务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依法应当公开招标的项目招标人不按照规定在指定媒介发布资格预审公告或者招标公告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《中华人民共和国招标投标法实施条例》、《工程建设项目货物招标投标办法》                                                                             《工程建设项目施工招标投标办法》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招标人在不同媒介发布的同一招标项目的资格预审公告或者招标公告的内容不一致，影响潜在投标人申请资格预审或者投标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                                                        《工程建设项目勘察设计招标投标办法》、                                                                                             《工程建设项目施工招标投标办法》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依法必须进行招标的项目的招标人不按照规定发布资格预审公告或者招标公告，构成规避招标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依法应当公开招标而招标人采用邀请招标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《中华人民共和国招标投标法实施条例》、《工程建设项目勘察设计招标投标办法》、《工程建设项目货物招标投标办法》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招标文件、资格预审文件的发售、澄清、修改的时限，或者确定的提交资格预审申请文件、投标文件的时限不符合招标投标法和本条例规定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招标人接受未通过资格预审的单位或者个人参加投标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《中华人民共和国招标投标法实施条例》、《工程建设项目勘察设计招标投标办法》、《工程建设项目货物招标投标办法》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招标人接受应当拒收的投标文件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《中华人民共和国招标投标法实施条例》、《工程建设项目勘察设计招标投标办法》、《工程建设项目货物招标投标办法》                                                                       《工程建设项目施工招标投标办法》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招标代理机构在所代理的招标项目中投标、代理投标或者向该项目投标人提供咨询，接受委托编制标底的中介机构参加受托编制标底项目的投标或者为该项目的投标人编制投标文件、提供咨询</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招标人超过规定的比例收取投标保证金、履约保证金或者不按照规定退还投标保证金及银行同期存款利息</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出让或者出租资格、资质证书供他人投标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依法必须进行招标的项目的招标人不按照规定组建评标委员会，或者确定、更换评标委员会成员违反招标投标法和招标投标法实施条例规定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《中华人民共和国招标投标法实施条例》、《工程建设项目勘察设计招标投标办法》 、 《工程建设项目施工招标投标办法》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评标委员会成员应当回避而不回避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评标委员会成员擅离职守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499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评标委员会成员不按照招标文件规定的评标标准和方法评标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评标委员会成员私下接触投标人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评标委员会成员向招标人征询确定中标人的意向或者接受任何单位或者个人明示或者暗示提出的倾向或者排斥特定投标人的要求</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评标委员会成员对依法应当否决的投标不提出否决意见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评标委员会成员暗示或者诱导投标人作出澄清、说明或者接受投标人主动提出的澄清、说明</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评标委员会成员有其他不客观、不公正履行职务的行为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评标委员会成员收受投标人的财物或者其他好处</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依法必须进行招标的项目的招标人无正当理由不发出中标通知书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依法必须进行招标的项目的招标人不按照规定确定中标人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依法必须进行招标的项目的招标人中标通知书发出后无正当理由改变中标结果</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依法必须进行招标的项目的招标人无正当理由不与中标人订立合同</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依法必须进行招标的项目的招标人在订立合同时向中标人提出附加条件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中标人无正当理由不与招标人订立合同，在签订合同时向招标人提出附加条件，或者不按照招标文件要求提交履约保证金</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招标人和中标人不按照招标文件和中标人的投标文件订立合同，合同的主要条款与招标文件、中标人的投标文件的内容不一致，或者招标人、中标人订立背离合同实质性内容的协议</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招标人不按照规定对异议作出答复，继续进行招标投标活动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招标人澄清、修改招标文件的时限，或者确定的提交投标文件的时限不符合规定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招标人不按照规定组建评标委员会，或者评标委员会成员的确定违反规定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招标人无正当理由未按规定发出中标通知书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招标人不按照规定确定中标人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《建筑工程设计招标投标管理办法》、《工程建设项目货物招标投标办法》、                                                                                                                     《工程建设项目施工招标投标办法》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中标通知书发出后招标人无正当理由改变中标结果</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《建筑工程设计招标投标管理办法》、《工程建设项目货物招标投标办法》、</w:t>
            </w:r>
            <w:r>
              <w:rPr>
                <w:rFonts w:ascii="宋体" w:hAnsi="宋体" w:eastAsia="宋体" w:cs="宋体"/>
                <w:kern w:val="0"/>
                <w:sz w:val="18"/>
                <w:szCs w:val="18"/>
              </w:rPr>
              <w:t xml:space="preserve">                                                                                                                     </w:t>
            </w:r>
            <w:r>
              <w:rPr>
                <w:rFonts w:hint="eastAsia" w:ascii="宋体" w:hAnsi="宋体" w:eastAsia="宋体" w:cs="宋体"/>
                <w:kern w:val="0"/>
                <w:sz w:val="18"/>
                <w:szCs w:val="18"/>
              </w:rPr>
              <w:t>《工程建设项目施工招标投标办法》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招标人无正当理由未按规定与中标人订立合同</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招标人在订立合同时向中标人提出附加条件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投标人以他人名义投标或者以其他方式弄虚作假，骗取中标，且尚未构成犯罪</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评标委员会成员违反规定，对应当否决的投标不提出否决意见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依法必须公开招标的项目招标人不按照规定在指定媒介发布资格预审公告或者招标公告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招标文件、资格预审文件的发售、澄清、修改的时限，或者确定的提交资格预审申请文件、投标文件的时限不符合招标投标法和招标投标法实施条例规定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《工程建设项目勘察设计招标投标办法》、                                                                        《工程建设项目货物招标投标办法》、                                                                                       《工程建设项目施工招标投标办法》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依法必须进行招标的项目的投标人以他人名义投标，利用伪造、转让、租借、无效的资质证书参加投标，或者请其他单位在自己编制的投标文件上代为签字盖章，弄虚作假，骗取中标，且未构成犯罪</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招标人以抽签、摇号等不合理的条件限制或者排斥资格预审合格的潜在投标人参加投标，对潜在投标人实行歧视待遇的，强制要求投标人组成联合体共同投标，或者限制投标人之间竞争</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招标人与中标人不按照招标文件和中标人的投标文件订立合同</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招标人在不同媒介发布的同一招标项目的资格预审公告或者招标公告内容不一致，影响潜在投标人申请资格预审或者投标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招标人无正当理由不发出中标通知书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招标人无正当理由不与中标人订立合同</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在订立合同时招标人向中标人提出附加条件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中标通知书发出后，中标人放弃中标项目的，无正当理由不与招标人签订合同的，在签订合同时向招标人提出附加条件或者更改合同实质性内容的，或者拒不提交所要求的履约保证金</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《工程建设项目货物招标投标办法》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依法必须进行招标的项目而不招标的，将必须进行招标的项目化整为零或者以其他任何方式规避招标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招标代理机构违法泄露应当保密的与招标投标活动有关的情况和资料，或者与招标人、投标人串通损害国家利益、社会公共利益或者他人合法权益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招标人以不合理的条件限制或者排斥潜在投标人，对潜在投标人实行歧视待遇，强制要求投标人组成联合体共同投标，或者限制投标人之间竞争</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依法必须进行招标项目的招标人向他人透露已获取招标文件的潜在投标人的名称、数量或者可能影响公平竞争的有关招标投标的其他情况，或者泄露标底</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招标人依法应当公开招标而采用邀请招标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投标人相互串通投标或者与招标人串通投标，投标人以向招标人或者评标委员会成员行贿的手段谋取中标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投标人以他人名义投标或者以其他方式弄虚作假，骗取中标的，尚未构成犯罪</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依法必须进行招标的项目，招标人违法与投标人就投标价格、投标方案等实质性内容进行谈判</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应当回避而不回避，擅离职守，不按照招标文件规定的评标标准和方法评标，私下接触投标人，向招标人征询确定中标人的意向或者接受任何单位或者个人明示或者暗示提出的倾向或者排斥特定投标人的要求，对依法应当否决的投标不提出否决意见，暗示或者诱导投标人作出澄清、说明或者接受投标人主动提出的澄清、说明，或者有其他不能客观公正地履行职责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中标通知书发出后，中标人放弃中标项目；无正当理由不与招标人签订合同；在签订合同时向招标人提出附加条件或者更改合同实质性内容；或者拒不提交所要求的履约保证金</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中标人将中标项目转让给他人，将中标项目肢解后分别转让给他人，违法将中标项目的部分主体、关键性工作分包给他人，或者分包人再次分包</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与中标人不按照招标文件和中标人的投标文件订立合同；合同的主要条款与招标文件、中标人的投标文件的内容不一致，或者招标人、中标人订立背离合同实质性内容的协议；或者招标人擅自提高履约保证金或强制要求中标人垫付中标项目建设资金</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中标人不按照与招标人订立的合同履行义务，情节严重</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开山、采石、开矿等破坏传统格局和历史风貌</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占用保护规划确定保留的园林绿地、河湖水系、道路等</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修建生产、储存爆炸性、易燃性、放射性、毒害性、腐蚀性物品的工厂、仓库等</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在历史建筑上刻划、涂污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未经城乡规划主管部门会同同级文物主管部门批准拆除历史建筑以外的建筑物、构筑物或者其他设施；或者经批准但是在活动过程中对传统格局、历史风貌或者历史建筑构成破坏性影响</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乡规划主管部门会同同级文物主管部门批准对历史建筑进行外部修缮装饰、添加设施以及改变历史建筑的结构或者使用性质；或者经批准但是在活动过程中对传统格局、历史风貌或者历史建筑构成破坏性影响</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在改变园林绿地、河湖水系等自然状态的活动中，对传统格局、历史风貌或者历史建筑构成破坏性影响</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在核心保护范围内进行影视摄制、举办大型群众性活动中，对传统格局、历史风貌或者历史建筑构成破坏性影响</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在其他影响传统格局、历史风貌或者历史建筑的活动中，构成破坏性影响</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损坏或者擅自迁移、拆除历史建筑</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擅自设置、移动、涂改或者损毁历史文化街区、名镇、名村标志牌</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历史文化名城、名镇、名村保护范围内，开山、采石、开矿等破坏传统格局和历史风貌，占用保护规划确定保留的园林绿地、河湖水系、道路等，修建生产、储存爆炸性、易燃性、放射性、毒害性、腐蚀性物品的工厂、仓库等，逾期不恢复原状或者不采取其他补救措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乡规划主管部门会同同级文物主管部门批准，改变园林绿地、河湖水系等自然状态，进行影视摄制、举办大型群众性活动，拆除历史建筑以外的建筑物、构筑物或者其他设施，对历史建筑进行外部修缮装饰、添加设施以及改变历史建筑的结构或者使用性质，其他影响传统格局、历史风貌或者历史建筑，逾期不恢复原状或者不采取其他补救措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损坏或者擅自迁移、拆除历史建筑，逾期不恢复原状或者不采取其他补救措施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损坏城市树木花草    </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擅自砍伐城市树木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砍伐、擅自迁移古树名木或者因养护不善致使古树名木受到损伤或者死亡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损坏城市绿化设施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未经同意擅自占用城市绿化用地</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不服从公共绿地管理单位管理的商业、服务摊点</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在城市绿地范围内进行拦河截溪、取土采石、设置垃圾堆场、排放污水以及其他对城市生态环境造成破坏活动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《城市绿线管理办法》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随地吐痰、便溺，乱扔果皮、纸屑和烟头等废弃物</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在城市建筑物、设施以及树木上涂写、刻画或者未经批准张挂、张贴宣传品等</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在城市人民政府规定的街道的临街建筑物的阳台和窗外，堆放、吊挂有碍市容的物品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不按规定的时间、地点、方式，倾倒垃圾、粪便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不履行卫生责任区清扫保洁义务或者不按规定清运、处理垃圾和粪便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运输液体、散装货物不作密封、包扎、覆盖，造成泄漏、遗撒</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临街工地不设置护栏或者不作遮挡、停工场地不及时整理并作必要覆盖或者竣工后不及时清理和平整场地，影响市容和环境卫生</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饲养家畜家禽影响市容和环境卫生</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未经城市人民政府市容环境卫生行政主管部门同意，擅自设置大型户外广告，影响市容</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未经城市人民政府市容环境卫生行政主管部门批准，擅自在街道两侧和公共场地堆放物料，搭建建筑物、构筑物或者其他设施，影响市容</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未经批准擅自拆除环境卫生设施或者未按批准的拆迁方案进行拆迁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不符合城市容貌标准、环境卫生标准的建筑物或者设施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损坏各类环境卫生设施及其附属设施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单位和个人未按规定缴纳城市生活垃圾处理费</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未按照城市生活垃圾治理规划和环境卫生设施标准配套建设城市生活垃圾收集设施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城市生活垃圾处置设施未经验收或者验收不合格投入使用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未经批准擅自关闭、闲置或者拆除城市生活垃圾处置设施、场所</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随意倾倒、抛洒、堆放城市生活垃圾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未经批准从事城市生活垃圾经营性清扫、收集、运输或者处置活动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从事城市生活垃圾经营性清扫、收集、运输的企业在运输过程中沿途丢弃、遗撒生活垃圾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从事生活垃圾经营性清扫、收集、运输的企业不按照环境卫生作业标准和作业规范，在规定的时间内及时清扫、收运城市生活垃圾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从事生活垃圾经营性清扫、收集、运输的企业未将收集的城市生活垃圾运到直辖市、市、县人民政府建设（环境卫生）主管部门认可的处置场所</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从事生活垃圾经营性清扫、收集、运输的企业清扫、收运城市生活垃圾后，未对生活垃圾收集设施及时保洁、复位，清理作业场地，保持生活垃圾收集设施和周边环境的干净整洁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从事生活垃圾经营性清扫、收集、运输的企业用于收集、运输城市生活垃圾的车辆、船舶未做到密闭、完好和整洁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从事生活垃圾经营性清扫、收集、运输的企业未严格按照国家有关规定和技术标准，处置城市生活垃圾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从事生活垃圾经营性清扫、收集、运输的企业未按照规定处理处置过程中产生的污水、废气、废渣、粉尘等，防止二次污染</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从事生活垃圾经营性清扫、收集、运输的企业未按照所在地建设（环境卫生）主管部门规定的时间和要求接收生活垃圾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从事生活垃圾经营性清扫、收集、运输的企业未按照要求配备城市生活垃圾处置设备、设施，保证设施、设备运行良好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从事生活垃圾经营性清扫、收集、运输的企业未保证城市生活垃圾处置站、场（厂）环境整洁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从事生活垃圾经营性清扫、收集、运输的企业未按照要求配备合格的管理人员及操作人员</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从事生活垃圾经营性清扫、收集、运输的企业未对每日收运、进出场站、处置的生活垃圾进行计量，或未按照要求将统计数据和报表报送所在地建设（环境卫生）主管部门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按照要求定期进行水、气、土壤等环境影响监测，或未对生活垃圾处理设施的性能和环保指标进行检测、评价，或未向所在地建设（环境卫生）主管部门报告检测、评价结果</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从事城市生活垃圾经营性清扫、收集、运输的企业，未经批准擅自停业、歇业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从事城市生活垃圾经营性处置的企业，未经批准擅自停业、歇业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将建筑垃圾混入生活垃圾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将危险废物混入建筑垃圾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擅自设立弃置场受纳建筑垃圾    </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建筑垃圾储运消纳场受纳工业垃圾、生活垃圾和有毒有害垃圾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施工单位未及时清运工程施工过程中产生的建筑垃圾，造成环境污染</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施工单位将建筑垃圾交给个人或者未经核准从事建筑垃圾运输的单位处置</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处置建筑垃圾的单位在运输建筑垃圾过程中沿途丢弃、遗撒建筑垃圾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涂改、倒卖、出租、出借或者以其他形式非法转让城市建筑垃圾处置核准文件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未经核准擅自处置建筑垃圾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处置超出核准范围的建筑垃圾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任何单位和个人随意倾倒、抛撒或者堆放建筑垃圾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擅自在动物园内摆摊设点</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《城市动物园管理规定》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擅自占用城市公厕规划用地或者改变其性质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建设单位经批准使用的土地含有城市公厕规划用地的，建设单位未按照城市公厕规划和城市人民政府环境卫生行政主管部门的要求修建公厕，并向社会开放使用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未按分工负责城市公厕的建设和维修管理    </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影剧院、商店、饭店、车站等公共建筑没有附设公厕或者原有公厕及其卫生设施不足的，未按照城市人民政府环境卫生行政主管部门的要求进行新建、扩建或者改造</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公共建筑附设的公厕及其卫生设施的设计和安装，不符合国家和地方的有关标准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对于损坏严重或者年久失修的公厕，有关单位未按照分工负责建设和维修管理，或在拆除重建时未先建临时公厕</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独立设置的城市公厕竣工时，建设单位未通知城市人民政府环境卫生主管部门或者其指定的部门参加验收；将验收不合格的独立设置的城市公厕交付使用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在公厕内乱丢垃圾、污物，随地吐痰，乱涂乱画</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破坏公厕设施、设备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未经批准擅自占用或者改变公厕使用性质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在运输过程中沿途丢弃、遗撒生活垃圾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《中华人民共和国固体废物污染环境防治法》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对涉嫌从事无照经营的场所，予以查封；对涉嫌用于无照经营的工具、设备、原材料、产品（商品）等物品，予以查封、扣押</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《无证无照经营查处办法》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主次干道两侧和临街的建筑物、构筑物容貌不符合城市容貌标准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利用公共设施、景观设施或者管线晾晒衣服、摆放物品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占用城市道路、桥梁、地下通道、公共广场以及其他公共场所堆放物料，或者经批准临时堆放物料到期后未及时清理，擅自在城市道路、桥梁、地下通道、公共广场以及其他公共场所搭建临时建筑物、构筑物或者其他设施，或者经批准临时建设到期后未及时拆除</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经营者擅自超出门、窗、外墙进行店外经营、作业或者摆设商品、桌椅、广告牌等物品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擅自占用城市道路、桥梁、地下通道、公共停车位、公共广场、公共绿地以及其他公共场所设摊经营、兜售物品或者进行文艺表演</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擅自在城市建筑物、设施上张挂、张贴宣传品等，在建筑物、构筑物、城市道路、树木以及其他户外设施或者公共场所涂写、刻画，或者经批准设置临时宣传品到期后未及时清理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往他人交通工具上投放印刷品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随地吐痰、便溺，乱扔果皮、果核、纸屑、烟蒂、玻璃瓶、饮料罐、口香糖、包装袋或者乱倒垃圾、渣土、污水、污油、粪便等废弃物</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乱扔动物尸体</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从建筑物、机动车内向外抛掷垃圾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在城市道路或者公共场所从事车辆清洗活动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非因教学、科研等特殊需要，在城区内饲养鸡、鸭、鹅、兔、羊、猪等家禽家畜或者饲养信鸽影响周围市容和环境卫生</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随意倾倒、抛撒、焚烧或者堆放生活垃圾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未将大件垃圾按照规定时间投放到指定场所，或者将大件垃圾投放到生活垃圾收集点或者收集容器内</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未在显著位置公示配套建设的生活垃圾中转站、公共厕所等公共环境卫生设施，未将配套建设的公共环境卫生设施在规划总平面图、销售广告、建设项目沙盘等载体予以明确标示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配套建设的环境卫生设施未与主体工程同时竣工验收、同时投入使用，或者分期建设的建设工程配套建设的环境卫生设施未与首期工程同时竣工验收、同时投入使用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损坏环境卫生设施、擅自拆除、迁移环境卫生设施，或者未按规定拆除、迁移环境卫生设施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未取得设计、施工资格或者未按照资质等级承担城市道路的设计、施工任务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未按照城市道路设计、施工技术规范设计、施工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未按照设计图纸施工或者擅自修改图纸</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擅自使用未经验收或者验收不合格的城市道路</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承担城市道路养护、维修的单位未定期对城市道路进行养护、维修或者未按照规定的期限修复竣工，并拒绝接受市政工程行政主管部门监督、检查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未对设在城市道路上的各种管线的检查井、箱盖或者城市道路附属设施的缺损及时补缺或者修复</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未在城市道路施工现场设置明显标志和安全防围设施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占用城市道路期满或者挖掘城市道路后，不及时清理现场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依附于城市道路建设各种管线、杆线等设施，不按照规定办理批准手续</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紧急抢修埋设在城市道路下的管线，不按照规定补办批准手续</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未按照批准的位置、面积、期限占用或者挖掘城市道路，或者需要移动位置、扩大面积、延长时间，未提前办理变更审批手续</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擅自占用或者挖掘城市道路</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履带车、铁轮车或者超重、超高、超长车辆擅自在城市道路上行驶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机动车在桥梁或者非指定的城市道路上试刹车</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擅自在城市道路上建设建筑物、构筑物</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在桥梁上架设压力在4公斤/平方厘米（0.4兆帕）以上的煤气管道、10千伏以上的高压电力线和其他易燃易爆管线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擅自在桥梁或者路灯设施上设置广告牌或者其他挂浮物</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其他损害、侵占城市道路的行为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未取得燃气经营许可证从事燃气经营活动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燃气经营者不按照燃气经营许可证的规定从事燃气经营活动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燃气经营者拒绝向市政燃气管网覆盖范围内符合用气条件的单位或者个人供气</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燃气经营者倒卖、抵押、出租、出借、转让、涂改燃气经营许可证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燃气经营者未履行必要告知义务擅自停止供气、调整供气量，或者未经审批擅自停业或者歇业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燃气经营者向未取得燃气经营许可证的单位或者个人提供用于经营的燃气</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燃气经营者在不具备安全条件的场所储存燃气</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燃气经营者要求燃气用户购买其指定的产品或者接受其提供的服务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燃气经营者未向燃气用户持续、稳定、安全供应符合国家质量标准的燃气，或者未对燃气用户的燃气设施定期进行安全检查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擅自为非自有气瓶充装燃气或者销售未经许可的充装单位充装的瓶装燃气</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销售充装单位擅自为非自有气瓶充装的瓶装燃气</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冒用其他企业名称或者标识从事燃气经营、服务活动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未按照国家有关工程建设标准和安全生产管理的规定，设置燃气设施防腐、绝缘、防雷、降压、隔离等保护装置和安全警示标志；或者未定期进行巡查、检测、维修和维护；或者未采取措施及时消除燃气安全事故隐患</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燃气用户及相关单位和个人擅自操作公用燃气阀门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燃气用户及相关单位和个人将燃气管道作为负重支架或者接地引线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燃气用户及相关单位和个人安装、使用不符合气源要求的燃气燃烧器具</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燃气用户及相关单位和个人擅自安装、改装、拆除户内燃气设施和燃气计量装置</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燃气用户及相关单位和个人在不具备安全条件的场所使用、储存燃气</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燃气用户及相关单位和个人改变燃气用途或者转供燃气</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未设立售后服务站点或者未配备经考核合格的燃气燃烧器具安装、维修人员</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燃气燃烧器具的安装、维修不符合国家有关标准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在燃气设施保护范围内进行爆破、取土等作业或者动用明火</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在燃气设施保护范围内倾倒、排放腐蚀性物质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在燃气设施保护范围内放置易燃易爆物品或者种植深根植物</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在燃气设施保护范围内未与燃气经营者共同制定燃气设施保护方案，采取相应的安全保护措施，从事敷设管道、打桩、顶进、挖掘、钻探等可能影响燃气设施安全活动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侵占、毁损、擅自拆除、移动燃气设施或者擅自改动市政燃气设施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毁损、覆盖、涂改、擅自拆除或者移动燃气设施安全警示标志</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建设工程施工范围内有地下燃气管线等重要燃气设施，建设单位未会同施工单位与管道燃气经营者共同制定燃气设施保护方案，或者建设单位、施工单位未采取相应的安全保护措施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城市自来水供水企业或者自建设施对外供水的企业供水水质、水压不符合国家规定标准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城市自来水供水企业或者自建设施对外供水的企业擅自停止供水或者来履行停水通知义务    </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城市自来水供水企业或者自建设施对外供水的企业未按照规定检修供水设施或者在供水设施发生故障后未及时抢修</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无证或者超越资质证书规定的经营范围进行城市供水工程的设计或者施工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未按国家规定的技术标准和规范进行城市供水工程的设计或者施工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违反城市供水发展规划及其年度建设计划兴建城市供水工程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未按规定缴纳水费</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盗用或者转供城市公共供水</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在规定的城市公共供水管道及其附属设施的安全保护范围内进行危害供水设施安全活动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擅自将自建设施供水管网系统与城市公共供水管网系统连接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产生或者使用有毒有害物质的单位将其生产用水管网系统与城市公共供水管网系统直接连接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699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在城市公共供水管道上直接装泵抽水</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擅自拆除、改装或者迁移城市公共供水设施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在雨水、污水分流地区，建设单位、施工单位将雨水管网、污水管网相互混接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城镇排水与污水处理设施覆盖范围内的排水单位和个人，未按照国家有关规定将污水排入城镇排水设施，或者在雨水、污水分流地区将污水排入雨水管网</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排水户未取得污水排入排水管网许可证向城镇排水设施排放污水</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排水户不按照污水排入排水管网许可证的要求排放污水</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因城镇排水设施维护或者检修可能对排水造成影响或者严重影响，城镇排水设施维护运营单位未提前通知相关排水户；或者未事先向城镇排水主管部门报告，采取应急处理措施；或者未按照防汛要求对城镇排水设施进行全面检查、维护、清疏，影响汛期排水畅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城镇污水处理设施维护运营单位未按照国家有关规定检测进出水水质，或者未报送污水处理水质和水量、主要污染物削减量等信息和生产运营成本等信息</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城镇污水处理设施维护运营单位擅自停运城镇污水处理设施，未按照规定事先报告或者采取应急处理措施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城镇污水处理设施维护运营单位或者污泥处理处置单位对产生的污泥以及处理处置后的污泥的去向、用途、用量等未进行跟踪、记录的，或者处理处置后的污泥不符合国家有关标准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擅自倾倒、堆放、丢弃、遗撒污泥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排水单位或者个人不缴纳污水处理费</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城镇排水与污水处理设施维护运营单位未按照国家有关规定履行日常巡查、维修和养护责任，保障设施安全运行</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城镇排水与污水处理设施维护运营单位未及时采取防护措施、组织事故抢修</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城镇排水与污水处理设施维护运营单位因巡查、维护不到位，导致窨井盖丢失、损毁，造成人员伤亡和财产损失</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从事危及城镇排水与污水处理设施安全的活动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有关单位未与施工单位、设施维护运营单位等共同制定设施保护方案，并采取相应的安全防护措施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擅自拆除、改动城镇排水与污水处理设施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城市的新建、扩建和改建工程项目未按规定配套建设节约用水设施或者节约用水设施经验收不合格</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《城市节约用水管理规定》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逾期不缴纳超计划用水加价水费</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《城市节约用水管理规定》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拒不安装生活用水分户计量水表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《城市节约用水管理规定》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城镇污水集中处理设施的运营单位或者污泥处理处置单位，处理处置后的污泥不符合国家标准，或者对污泥去向等未进行记录</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《中华人民共和国水污染防治法》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城市自来水供水企业和自建设施对外供水的企业新建、改建、扩建的饮用水供水工程项目未经建设行政主管部门设计审查和竣工验收而擅自建设并投入使用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《生活饮用水卫生监督管理办法》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城市自来水供水企业和自建设施对外供水的企业未按规定进行日常性水质检验工作</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《生活饮用水卫生监督管理办法》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特许经营者违反法律、行政法规和国家强制性标准，严重危害公共利益，或者造成重大质量、安全事故或者突发环境事件</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《基础设施和公用事业特许经营管理办法》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以欺骗、贿赂等不正当手段取得特许经营项目</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《基础设施和公用事业特许经营管理办法》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在城镇排水与污水处理设施覆盖范围内，未按照国家有关规定将污水排入城镇排水设施，或者在雨水、污水分流地区将污水排入雨水管网</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排水户未取得排水许可，向城镇排水设施排放污水</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排水户未按照排水许可证的要求，向城镇排水设施排放污水</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排水户名称、法定代表人等其他事项变更，未按规定及时向城镇排水主管部门申请办理变更</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排水户以欺骗、贿赂等不正当手段取得排水许可</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排水户因发生事故或者其他突发事件，排放的污水可能危及城镇排水与污水处理设施安全运行，没有立即停止排放，未采取措施消除危害，或者并未按规定及时向城镇排水主管部门等有关部门报告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从事危及城镇排水设施安全的活动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排水户违反规定，拒不接受水质、水量监测或者妨碍、阻挠城镇排水主管部门依法监督检查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不具备相应资质的单位和不具备相应执业资格证书的专业技术人员从事城市照明工程勘察、设计、施工、监理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在城市景观照明中有过度照明等超能耗标准行为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在城市照明设施上刻划、涂污</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在城市照明设施安全距离内，擅自植树、挖坑取土或者设置其他物体，或者倾倒含酸、碱、盐等腐蚀物或者具有腐蚀性的废渣、废液</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擅自在城市照明设施上张贴、悬挂、设置宣传品、广告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擅自在城市照明设施上架设线缆、安置其它设施或者接用电源</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擅自迁移、拆除、利用城市照明设施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其他可能影响城市照明设施正常运行的行为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擅自采用没有工程建设标准又未经核准的新技术、新材料</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《市政公用设施抗灾设防管理规定》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擅自变动或者破坏市政公用设施的防灾设施、抗震抗风构件、隔震或者振动控制装置、安全监测系统、健康监测系统、应急自动处置系统以及地震反应观测系统等设施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《市政公用设施抗灾设防管理规定》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未对经鉴定不符合抗震要求的市政公用设施进行改造、改建或者抗震加固，又未限制使用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《市政公用设施抗灾设防管理规定》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供水水质达不到国家有关标准规定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城市供水单位、二次供水管理单位未按规定进行水质检测或者委托检测</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对于实施生产许可证管理的净水剂及与制水有关的材料等，选用未获证企业产品</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城市供水单位使用未经检验或者检验不合格的净水剂及有关制水材料</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城市供水单位使用未经检验或者检验不合格的城市供水设备、管网</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二次供水管理单位，未按规定对各类储水设施进行清洗消毒</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城市供水单位、二次供水管理单位隐瞒、缓报、谎报水质突发事件或者水质信息</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有危害城市供水水质安全的其他行为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城市供水单位未制定城市供水水质突发事件应急预案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城市供水单位未按规定上报水质报表</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建设单位未移交地下管线工程档案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《城市地下管线工程档案管理办法》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地下管线专业管理单位未移交地下管线工程档案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《城市地下管线工程档案管理办法》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获得特许经营权的企业擅自停业、歇业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《市政公用事业特许经营管理办法》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以欺骗、贿赂等不正当手段获得特许经营权</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《市政公用事业特许经营管理办法》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城市桥梁产权人或者委托管理人未按照规定编制城市桥梁养护维修的中长期规划和年度计划，或者未经批准即实施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城市桥梁产权人或者委托管理人未按照规定设置相应的标志，并保持其完好、清晰</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城市桥梁产权人或者委托管理人未按照规定委托具有相应资格的机构对城市桥梁进行检测评估</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城市桥梁产权人或者委托管理人未按照规定制定城市桥梁的安全抢险预备方案</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城市桥梁产权人或者委托管理人未按照规定对城市桥梁进行养护维修</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单位或者个人擅自在城市桥梁上架设各类管线、设置广告等辅助物</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单位和个人擅自在城市桥梁施工控制范围内从事河道疏浚、挖掘、打桩、地下管道顶进、爆破等</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超限机动车辆、履带车、铁轮车等需经过城市桥梁的，在报公安交通管理部门审批前，未先经城市人民政府市政工程设施行政主管部门同意，或未采取相应技术措施就通行</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经过检测评估，确定城市桥梁的承载能力下降，但尚未构成危桥的，城市桥梁产权人和委托管理人未及时设置警示标志，或未立即采取加固等安全措施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经检测评估判定为危桥的，城市桥梁产权人和委托管理人未立即采取措施，设置显著的警示标志，或未在二十四小时内，向城市人民政府市政工程设施行政主管部门报告；市政工程设施行政主管部门提出处理意见后，城市桥梁产权人和委托管理人未在期限内排除危险；在危险排除之前，城市桥梁产权人和委托管理人使用或者转让危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城镇污水处理设施维护运营单位或者污泥处理处置单位对产生的污泥以及处理处置后的污泥的去向、用途、用量等未进行跟踪、记录，或者处理处置后的污泥不符合国家有关标准，逾期不采取治理措施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未取得建设工程规划许可证或者未按照建设工程规划许可证的规定进行建设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《中华人民共和国城乡规划法》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建设单位或者个人未经批准进行临时建设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《中华人民共和国城乡规划法》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建设单位或者个人未按照批准内容进行临时建设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《中华人民共和国城乡规划法》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临时建筑物、构筑物超过批准期限建设单位或者个人不拆除</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《中华人民共和国城乡规划法》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城乡规划主管部门作出责令停止建设或者限期拆除的决定后，当事人不停止建设或者逾期不拆除</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《中华人民共和国城乡规划法》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　</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凡不符合城市容貌标准、环境卫生标准的建筑物或者设施，逾期未改造或者未拆除</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住宅物业的建设单位未通过招投标的方式选聘物业服务企业或者未经批准，擅自采用协议方式选聘物业服务企业</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建设单位擅自处分属于业主的物业共用部位、共用设施设备的所有权或者使用权</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逾期仍不移交有关资料</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物业服务企业将一个物业管理区域内的全部物业管理一并委托给他人</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挪用专项维修资金</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建设单位在物业管理区域内不按照规定配置必要的物业管理用房</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未经业主大会同意，物业服务企业擅自改变物业管理用房的用途</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擅自改变物业管理区域内按照规划建设的公共建筑和共用设施用途</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擅自占用、挖掘物业管理区域内道路、场地，损害业主共同利益</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擅自利用物业共用部位、共用设施设备进行经营</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住房公积金管理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单位不办理住房公积金缴存登记或者不为本单位职工办理住房公积金账户设立手续</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《住房公积金管理条例》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住房公积金管理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单位逾期不缴或者少缴住房公积金</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《住房公积金管理条例》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建筑施工噪音污染。</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《中华人民共和国环境噪声污染防治法》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经营中的文化娱乐场所边界噪声不超过国家规定的环境噪声排放标准；在商业经营活动中使用空调器、冷却塔等产生的边界噪声超过国家规定的环境噪声排放标准</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《广东省实施&lt;中华人民共和国环境噪声污染防治法&gt;办法》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餐饮服务业油烟污染、露天烧烤污染。</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城市焚烧沥青塑料垃圾等烟尘和恶臭污染、露天焚烧秸秆落叶等烟尘污染、燃放烟花爆竹污染。</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在居民住宅楼、未配套设立专用烟道的商住综合楼以及商住综合楼内与居住层相邻的商业楼层内新建、改建、扩建产生油烟、异味、废气的餐饮服务项目。</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封堵、改变专用烟道和向城市地下排水管道排放油烟。</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《广东省大气污染防治条例》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建设单位未对暂时不能开工的建设用地的裸露地面进行覆盖，或者未对超过三个月不能开工的建设用地的裸露地面进行绿化、铺装或者遮盖</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《江门市扬尘污染防治管理办法》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贮存水泥、石灰、石膏、砂土等的场所未密闭水泥、石灰、石膏、砂土等易产生扬尘的物料的；或对不能密闭的易产生扬尘的物料，未设置不低于堆放物高度的严密围挡；填埋场和消纳场未采取有效措施防治扬尘污染；装卸物料未采取密闭或者喷淋等方式控制扬尘排放</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《江门市扬尘污染防治管理办法》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拒不执行停止工地土石方作业或者建筑物拆除施工等重污染天气应急措施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《江门市扬尘污染防治管理办法》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拒不配合负有扬尘污染防治监督管理职责的部门进行现场检查，或者在检查中弄虚作假</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《江门市扬尘污染防治管理办法》</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未经城市管理主管部门同意，擅自设置大型户外广告设施，影响市容</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设置人未按照城市管理主管部门准予同意的书面决定的要求设置大型户外广告设施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799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设置人未在设置期限届满后十日内拆除大型户外广告设施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800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设置非大型户外广告设施不符合户外广告设施设置专项规划要求</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801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未在设置期限届满后三日内拆除临时性户外广告设施</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802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未按照招牌设置规范设置招牌的，经城市管理主管部门责令限期改正且逾期不改正</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803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户外广告设施设置人未履行相关维护管理责任，经城市管理主管部门责令限期改正且逾期不改正</w:t>
            </w:r>
          </w:p>
        </w:tc>
        <w:tc>
          <w:tcPr>
            <w:tcW w:w="2649"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1495"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68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31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1588"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p>
        </w:tc>
        <w:tc>
          <w:tcPr>
            <w:tcW w:w="332"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296"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50"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420"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69"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1"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350" w:type="dxa"/>
          </w:tcPr>
          <w:p>
            <w:pPr>
              <w:widowControl/>
              <w:jc w:val="center"/>
              <w:rPr>
                <w:rFonts w:ascii="Arial" w:hAnsi="Arial" w:eastAsia="宋体" w:cs="Arial"/>
                <w:kern w:val="0"/>
                <w:sz w:val="18"/>
                <w:szCs w:val="18"/>
              </w:rPr>
            </w:pPr>
          </w:p>
        </w:tc>
      </w:tr>
    </w:tbl>
    <w:p>
      <w:pPr>
        <w:jc w:val="both"/>
        <w:rPr>
          <w:rFonts w:hint="eastAsia"/>
        </w:rPr>
      </w:pPr>
    </w:p>
    <w:tbl>
      <w:tblPr>
        <w:tblStyle w:val="3"/>
        <w:tblpPr w:leftFromText="180" w:rightFromText="180" w:vertAnchor="text" w:tblpX="192" w:tblpY="-3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573" w:type="dxa"/>
          </w:tcPr>
          <w:p>
            <w:pPr>
              <w:jc w:val="both"/>
              <w:rPr>
                <w:rFonts w:hint="eastAsia"/>
                <w:vertAlign w:val="baseline"/>
              </w:rPr>
            </w:pPr>
          </w:p>
        </w:tc>
      </w:tr>
    </w:tbl>
    <w:p>
      <w:pPr>
        <w:jc w:val="both"/>
        <w:rPr>
          <w:rFonts w:hint="eastAsia"/>
        </w:rPr>
      </w:pPr>
    </w:p>
    <w:sectPr>
      <w:pgSz w:w="16838" w:h="11906" w:orient="landscape"/>
      <w:pgMar w:top="1080" w:right="1440" w:bottom="851"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254"/>
    <w:rsid w:val="001974FE"/>
    <w:rsid w:val="001D18F3"/>
    <w:rsid w:val="0086133D"/>
    <w:rsid w:val="00A30254"/>
    <w:rsid w:val="00D85C60"/>
    <w:rsid w:val="03661AB4"/>
    <w:rsid w:val="05A1023B"/>
    <w:rsid w:val="073C30C6"/>
    <w:rsid w:val="08030388"/>
    <w:rsid w:val="0C182FEF"/>
    <w:rsid w:val="0ED96A1C"/>
    <w:rsid w:val="10BE2DC3"/>
    <w:rsid w:val="11BA2DF2"/>
    <w:rsid w:val="15381992"/>
    <w:rsid w:val="15C33399"/>
    <w:rsid w:val="15C461CA"/>
    <w:rsid w:val="16D27AC4"/>
    <w:rsid w:val="19772EAF"/>
    <w:rsid w:val="20C54C9C"/>
    <w:rsid w:val="20FB480B"/>
    <w:rsid w:val="246174EA"/>
    <w:rsid w:val="2C1E4C88"/>
    <w:rsid w:val="2CA7483C"/>
    <w:rsid w:val="338E6B28"/>
    <w:rsid w:val="387522F2"/>
    <w:rsid w:val="3B2A4B9E"/>
    <w:rsid w:val="3C7202F1"/>
    <w:rsid w:val="4F9B365A"/>
    <w:rsid w:val="53F527F6"/>
    <w:rsid w:val="56B912B3"/>
    <w:rsid w:val="586A1D1F"/>
    <w:rsid w:val="5B620158"/>
    <w:rsid w:val="5B6F16F1"/>
    <w:rsid w:val="5C351E77"/>
    <w:rsid w:val="5FEB5107"/>
    <w:rsid w:val="61E92F5D"/>
    <w:rsid w:val="6384408D"/>
    <w:rsid w:val="63A16A20"/>
    <w:rsid w:val="685A1B57"/>
    <w:rsid w:val="6AB63EE2"/>
    <w:rsid w:val="6C7B35B0"/>
    <w:rsid w:val="6FEE0955"/>
    <w:rsid w:val="70AC33A8"/>
    <w:rsid w:val="79B07676"/>
    <w:rsid w:val="7BE36EE4"/>
    <w:rsid w:val="7C245964"/>
    <w:rsid w:val="7CEB7BA8"/>
    <w:rsid w:val="7E52179E"/>
    <w:rsid w:val="7E5E29F2"/>
    <w:rsid w:val="7F2C1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145</Words>
  <Characters>828</Characters>
  <Lines>6</Lines>
  <Paragraphs>1</Paragraphs>
  <TotalTime>0</TotalTime>
  <ScaleCrop>false</ScaleCrop>
  <LinksUpToDate>false</LinksUpToDate>
  <CharactersWithSpaces>972</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2020-11-12T08:05:00Z</dcterms:created>
  <dc:creator>丘美容</dc:creator>
  <cp:lastModifiedBy>青桔柠檬</cp:lastModifiedBy>
  <dcterms:modified xsi:type="dcterms:W3CDTF">2020-11-24T14:49:13Z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