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cs="黑体"/>
          <w:sz w:val="32"/>
          <w:szCs w:val="32"/>
          <w:highlight w:val="none"/>
        </w:rPr>
      </w:pPr>
      <w:r>
        <w:rPr>
          <w:rFonts w:hint="eastAsia" w:ascii="黑体" w:hAnsi="黑体" w:eastAsia="黑体" w:cs="黑体"/>
          <w:sz w:val="32"/>
          <w:szCs w:val="32"/>
          <w:highlight w:val="none"/>
        </w:rPr>
        <w:t>附件1</w:t>
      </w:r>
    </w:p>
    <w:p>
      <w:pPr>
        <w:spacing w:line="560" w:lineRule="exact"/>
        <w:jc w:val="left"/>
        <w:rPr>
          <w:rFonts w:hint="eastAsia" w:ascii="仿宋_GB2312" w:hAnsi="仿宋_GB2312" w:eastAsia="仿宋_GB2312" w:cs="仿宋_GB2312"/>
          <w:sz w:val="32"/>
          <w:szCs w:val="32"/>
          <w:highlight w:val="none"/>
        </w:rPr>
      </w:pPr>
    </w:p>
    <w:p>
      <w:pPr>
        <w:spacing w:line="560" w:lineRule="exact"/>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江门市制造业数字化转型标杆示范</w:t>
      </w:r>
      <w:r>
        <w:rPr>
          <w:rFonts w:hint="eastAsia" w:ascii="方正小标宋简体" w:hAnsi="方正小标宋简体" w:eastAsia="方正小标宋简体" w:cs="方正小标宋简体"/>
          <w:sz w:val="44"/>
          <w:szCs w:val="44"/>
          <w:highlight w:val="none"/>
          <w:lang w:eastAsia="zh-CN"/>
        </w:rPr>
        <w:t>内容</w:t>
      </w:r>
    </w:p>
    <w:p>
      <w:pPr>
        <w:spacing w:line="560" w:lineRule="exact"/>
        <w:rPr>
          <w:rFonts w:hint="eastAsia" w:ascii="方正小标宋简体" w:hAnsi="方正小标宋简体" w:eastAsia="方正小标宋简体" w:cs="方正小标宋简体"/>
          <w:sz w:val="44"/>
          <w:szCs w:val="44"/>
          <w:highlight w:val="none"/>
        </w:rPr>
      </w:pPr>
    </w:p>
    <w:p>
      <w:pPr>
        <w:spacing w:line="560" w:lineRule="exact"/>
        <w:ind w:firstLine="643"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制造业数字化转型：</w:t>
      </w:r>
      <w:r>
        <w:rPr>
          <w:rFonts w:hint="eastAsia" w:ascii="仿宋_GB2312" w:hAnsi="仿宋_GB2312" w:eastAsia="仿宋_GB2312" w:cs="仿宋_GB2312"/>
          <w:sz w:val="32"/>
          <w:szCs w:val="32"/>
          <w:highlight w:val="none"/>
        </w:rPr>
        <w:t>制造业企业通过综合运用新型制造技术和5G、云计算、工业大数据、人工智能、物联网等数字技术，激发数据要素创新驱动潜能，打造提升信息时代生存和发展能力，加速业务优化升级和创新转型，促进全产业链、产业集群在线协同制造，改造提升传统动能，培育发展新动能，创造、传递并获取新价值，实现转型升级和创新发展的过程。</w:t>
      </w:r>
    </w:p>
    <w:p>
      <w:pPr>
        <w:widowControl/>
        <w:spacing w:line="560" w:lineRule="exact"/>
        <w:ind w:firstLine="643"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制造业数字化转型标杆示范</w:t>
      </w:r>
      <w:r>
        <w:rPr>
          <w:rFonts w:hint="eastAsia" w:ascii="仿宋_GB2312" w:hAnsi="仿宋_GB2312" w:eastAsia="仿宋_GB2312" w:cs="仿宋_GB2312"/>
          <w:b/>
          <w:bCs/>
          <w:sz w:val="32"/>
          <w:szCs w:val="32"/>
          <w:highlight w:val="none"/>
          <w:lang w:eastAsia="zh-CN"/>
        </w:rPr>
        <w:t>企业</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kern w:val="0"/>
          <w:sz w:val="32"/>
          <w:szCs w:val="32"/>
          <w:highlight w:val="none"/>
          <w:shd w:val="clear" w:color="auto" w:fill="FFFFFF"/>
          <w:lang w:bidi="ar"/>
        </w:rPr>
        <w:t>制造业企业开展内外部全业务流程数字化智能化转型，实施企业资源计划、产品生命周期、生产执行、供应链管理、客户关系等工业软件全覆盖，对工作流、信息流、物流和资金流进行有效管理，实现资源共享和工作高度协同，构建数字化规划、决策、执行智能制造体系，从而实现企业全部业务流程一体化运作。在智能化制造、数字化管理、网络化协同、个性化定制、设计、决策、产品以及物联网、大数据、云计算、信息安全等方面的水平与经济效益有较突出的示范作用。鼓励企业参照工业和信息化部印发的《5G全连接工厂建设指南》建设</w:t>
      </w:r>
      <w:r>
        <w:rPr>
          <w:rFonts w:hint="eastAsia" w:ascii="仿宋_GB2312" w:hAnsi="仿宋_GB2312" w:eastAsia="仿宋_GB2312" w:cs="仿宋_GB2312"/>
          <w:sz w:val="32"/>
          <w:szCs w:val="32"/>
          <w:highlight w:val="none"/>
        </w:rPr>
        <w:t>不同类型的5G+工厂，按需建设</w:t>
      </w:r>
      <w:r>
        <w:rPr>
          <w:rFonts w:hint="eastAsia" w:ascii="仿宋_GB2312" w:hAnsi="仿宋_GB2312" w:eastAsia="仿宋_GB2312" w:cs="仿宋_GB2312"/>
          <w:kern w:val="0"/>
          <w:sz w:val="32"/>
          <w:szCs w:val="32"/>
          <w:highlight w:val="none"/>
          <w:shd w:val="clear" w:color="auto" w:fill="FFFFFF"/>
          <w:lang w:bidi="ar"/>
        </w:rPr>
        <w:t>5G全连接工厂，</w:t>
      </w:r>
      <w:r>
        <w:rPr>
          <w:rFonts w:hint="eastAsia" w:ascii="仿宋_GB2312" w:hAnsi="仿宋_GB2312" w:eastAsia="仿宋_GB2312" w:cs="仿宋_GB2312"/>
          <w:sz w:val="32"/>
          <w:szCs w:val="32"/>
          <w:highlight w:val="none"/>
        </w:rPr>
        <w:t>实现“5G+工业互联网”典型应用场景</w:t>
      </w:r>
      <w:r>
        <w:rPr>
          <w:rFonts w:hint="eastAsia" w:ascii="仿宋_GB2312" w:hAnsi="仿宋_GB2312" w:eastAsia="仿宋_GB2312" w:cs="仿宋_GB2312"/>
          <w:kern w:val="0"/>
          <w:sz w:val="32"/>
          <w:szCs w:val="32"/>
          <w:highlight w:val="none"/>
          <w:shd w:val="clear" w:color="auto" w:fill="FFFFFF"/>
          <w:lang w:bidi="ar"/>
        </w:rPr>
        <w:t>。</w:t>
      </w:r>
    </w:p>
    <w:p>
      <w:pPr>
        <w:widowControl/>
        <w:spacing w:line="560" w:lineRule="exact"/>
        <w:ind w:firstLine="643" w:firstLineChars="200"/>
        <w:jc w:val="left"/>
        <w:rPr>
          <w:rFonts w:hint="eastAsia" w:ascii="仿宋_GB2312" w:hAnsi="仿宋_GB2312" w:eastAsia="仿宋_GB2312" w:cs="仿宋_GB2312"/>
          <w:kern w:val="0"/>
          <w:sz w:val="32"/>
          <w:szCs w:val="32"/>
          <w:highlight w:val="none"/>
          <w:shd w:val="clear" w:color="auto" w:fill="FFFFFF"/>
          <w:lang w:bidi="ar"/>
        </w:rPr>
      </w:pPr>
      <w:r>
        <w:rPr>
          <w:rFonts w:hint="eastAsia" w:ascii="仿宋_GB2312" w:hAnsi="仿宋_GB2312" w:eastAsia="仿宋_GB2312" w:cs="仿宋_GB2312"/>
          <w:b/>
          <w:bCs/>
          <w:sz w:val="32"/>
          <w:szCs w:val="32"/>
          <w:highlight w:val="none"/>
        </w:rPr>
        <w:t>制造业数字化转型标杆示范车间：</w:t>
      </w:r>
      <w:r>
        <w:rPr>
          <w:rFonts w:hint="eastAsia" w:ascii="仿宋_GB2312" w:hAnsi="仿宋_GB2312" w:eastAsia="仿宋_GB2312" w:cs="仿宋_GB2312"/>
          <w:kern w:val="0"/>
          <w:sz w:val="32"/>
          <w:szCs w:val="32"/>
          <w:highlight w:val="none"/>
          <w:shd w:val="clear" w:color="auto" w:fill="FFFFFF"/>
          <w:lang w:bidi="ar"/>
        </w:rPr>
        <w:t>制造业企业以生产执行系统为核心、关键设备联网为基础，推动生产制造过程数字化智能化，包括基础层的数据化（包括生产设备的信息采集和命令执行以及生产资料的数字化标识）和执行层的数字化（指车间计划与调度、工艺执行与管理、生产物流管理、生产过程质量管理、车间设备管理等一系列功能单元的数字化），关键环节实现工业软件覆盖，有效采集和连接车间的生产资源信息，实现对车间现场网络化监控和可视化管理，具有解决企业生产车间的核心环节问题，具有可参观</w:t>
      </w:r>
      <w:bookmarkStart w:id="2" w:name="_GoBack"/>
      <w:bookmarkEnd w:id="2"/>
      <w:r>
        <w:rPr>
          <w:rFonts w:hint="eastAsia" w:ascii="仿宋_GB2312" w:hAnsi="仿宋_GB2312" w:eastAsia="仿宋_GB2312" w:cs="仿宋_GB2312"/>
          <w:kern w:val="0"/>
          <w:sz w:val="32"/>
          <w:szCs w:val="32"/>
          <w:highlight w:val="none"/>
          <w:shd w:val="clear" w:color="auto" w:fill="FFFFFF"/>
          <w:lang w:bidi="ar"/>
        </w:rPr>
        <w:t>、可推广、可复制示范指导作用。</w:t>
      </w:r>
    </w:p>
    <w:p>
      <w:pPr>
        <w:widowControl/>
        <w:spacing w:line="560" w:lineRule="exact"/>
        <w:ind w:firstLine="643"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中小企业数字化水平评测指标</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lang w:val="en-US" w:eastAsia="zh-CN"/>
        </w:rPr>
        <w:t>《中小企业数字化水平评测指标（2022年版）》是为助力中小企业数字化转型，工业和信息化部办公厅组织相关单位共同研究制定的评测指标。2022年10月5日，工业和信息化部办公厅发布《中小企业数字化水平评测指标（2022年版）》。</w:t>
      </w:r>
    </w:p>
    <w:p>
      <w:pPr>
        <w:widowControl/>
        <w:spacing w:line="5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测指标》根据行业特点，分为制造业数字化水平评测表、生产性服务业数字化水平评测表、其他行业数字化水平评测表三个类别，从数字化基础、经营、管理、成效四个维度综合评估中小企业数字化发展水平，依据企业评测得分，将数字化水平划分为四个等级：</w:t>
      </w:r>
    </w:p>
    <w:p>
      <w:pPr>
        <w:widowControl/>
        <w:spacing w:line="5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一级（20—40分）：开展了基础业务流程梳理和数据规范化管理，并进行了信息技术简单应用。</w:t>
      </w:r>
    </w:p>
    <w:p>
      <w:pPr>
        <w:widowControl/>
        <w:spacing w:line="5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二级（40—60分）：利用信息技术手段或管理工具实现了单一业务数字化管理。</w:t>
      </w:r>
    </w:p>
    <w:p>
      <w:pPr>
        <w:widowControl/>
        <w:spacing w:line="5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三级（60—80分）：应用信息系统及数字化技术进行数据分析，实现全部主营业务数字化管控。</w:t>
      </w:r>
    </w:p>
    <w:p>
      <w:pPr>
        <w:widowControl/>
        <w:spacing w:line="5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四级（80分以上）：利用全业务链数据集成分析，实现数据驱动的业务协同与智能决策。</w:t>
      </w:r>
    </w:p>
    <w:p>
      <w:pPr>
        <w:widowControl/>
        <w:spacing w:line="560"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企业可登陆工业和信息化部优质中小企业梯度培育平台（</w:t>
      </w:r>
      <w:r>
        <w:rPr>
          <w:rFonts w:hint="default" w:ascii="Times New Roman" w:hAnsi="Times New Roman" w:eastAsia="仿宋_GB2312" w:cs="Times New Roman"/>
          <w:sz w:val="32"/>
          <w:szCs w:val="32"/>
        </w:rPr>
        <w:t>https://zjtx.miit.gov.cn</w:t>
      </w:r>
      <w:r>
        <w:rPr>
          <w:rFonts w:hint="eastAsia" w:ascii="Times New Roman" w:hAnsi="Times New Roman" w:eastAsia="仿宋_GB2312" w:cs="Times New Roman"/>
          <w:sz w:val="32"/>
          <w:szCs w:val="32"/>
          <w:lang w:eastAsia="zh-CN"/>
        </w:rPr>
        <w:t>）开展数字化水平评测。</w:t>
      </w:r>
    </w:p>
    <w:p>
      <w:pPr>
        <w:widowControl/>
        <w:spacing w:line="560" w:lineRule="exact"/>
        <w:ind w:firstLine="640" w:firstLineChars="200"/>
        <w:jc w:val="left"/>
        <w:rPr>
          <w:rFonts w:hint="eastAsia" w:ascii="仿宋_GB2312" w:hAnsi="仿宋_GB2312" w:eastAsia="仿宋_GB2312" w:cs="仿宋_GB2312"/>
          <w:sz w:val="32"/>
          <w:szCs w:val="32"/>
          <w:lang w:val="en-US" w:eastAsia="zh-CN"/>
        </w:rPr>
      </w:pPr>
    </w:p>
    <w:p>
      <w:pPr>
        <w:widowControl/>
        <w:spacing w:line="560" w:lineRule="exact"/>
        <w:ind w:firstLine="640" w:firstLineChars="200"/>
        <w:jc w:val="left"/>
        <w:rPr>
          <w:rFonts w:hint="eastAsia" w:ascii="仿宋_GB2312" w:hAnsi="仿宋_GB2312" w:eastAsia="仿宋_GB2312" w:cs="仿宋_GB2312"/>
          <w:sz w:val="32"/>
          <w:szCs w:val="32"/>
          <w:lang w:val="en-US" w:eastAsia="zh-CN"/>
        </w:rPr>
      </w:pPr>
    </w:p>
    <w:p>
      <w:pPr>
        <w:widowControl/>
        <w:spacing w:line="560" w:lineRule="exact"/>
        <w:jc w:val="left"/>
        <w:rPr>
          <w:rFonts w:hint="eastAsia" w:ascii="仿宋_GB2312" w:hAnsi="仿宋_GB2312" w:eastAsia="仿宋_GB2312" w:cs="仿宋_GB2312"/>
          <w:sz w:val="32"/>
          <w:szCs w:val="32"/>
          <w:lang w:val="en-US" w:eastAsia="zh-CN"/>
        </w:rPr>
      </w:pPr>
    </w:p>
    <w:p>
      <w:pPr>
        <w:widowControl/>
        <w:spacing w:line="560" w:lineRule="exact"/>
        <w:jc w:val="left"/>
        <w:rPr>
          <w:rFonts w:hint="eastAsia" w:ascii="仿宋_GB2312" w:hAnsi="仿宋_GB2312" w:eastAsia="仿宋_GB2312" w:cs="仿宋_GB2312"/>
          <w:sz w:val="32"/>
          <w:szCs w:val="32"/>
          <w:lang w:val="en-US" w:eastAsia="zh-CN"/>
        </w:rPr>
      </w:pPr>
    </w:p>
    <w:p>
      <w:pPr>
        <w:widowControl/>
        <w:spacing w:line="560" w:lineRule="exact"/>
        <w:jc w:val="left"/>
        <w:rPr>
          <w:rFonts w:hint="eastAsia" w:ascii="仿宋_GB2312" w:hAnsi="仿宋_GB2312" w:eastAsia="仿宋_GB2312" w:cs="仿宋_GB2312"/>
          <w:sz w:val="32"/>
          <w:szCs w:val="32"/>
          <w:lang w:val="en-US" w:eastAsia="zh-CN"/>
        </w:rPr>
      </w:pPr>
    </w:p>
    <w:p>
      <w:pPr>
        <w:widowControl/>
        <w:spacing w:line="560" w:lineRule="exact"/>
        <w:jc w:val="left"/>
        <w:rPr>
          <w:rFonts w:hint="eastAsia" w:ascii="仿宋_GB2312" w:hAnsi="仿宋_GB2312" w:eastAsia="仿宋_GB2312" w:cs="仿宋_GB2312"/>
          <w:sz w:val="32"/>
          <w:szCs w:val="32"/>
          <w:lang w:val="en-US" w:eastAsia="zh-CN"/>
        </w:rPr>
      </w:pPr>
    </w:p>
    <w:p>
      <w:pPr>
        <w:widowControl/>
        <w:spacing w:line="560" w:lineRule="exact"/>
        <w:jc w:val="left"/>
        <w:rPr>
          <w:rFonts w:hint="eastAsia" w:ascii="仿宋_GB2312" w:hAnsi="仿宋_GB2312" w:eastAsia="仿宋_GB2312" w:cs="仿宋_GB2312"/>
          <w:sz w:val="32"/>
          <w:szCs w:val="32"/>
          <w:lang w:val="en-US" w:eastAsia="zh-CN"/>
        </w:rPr>
      </w:pPr>
    </w:p>
    <w:p>
      <w:pPr>
        <w:widowControl/>
        <w:spacing w:line="560" w:lineRule="exact"/>
        <w:jc w:val="left"/>
        <w:rPr>
          <w:rFonts w:hint="eastAsia" w:ascii="仿宋_GB2312" w:hAnsi="仿宋_GB2312" w:eastAsia="仿宋_GB2312" w:cs="仿宋_GB2312"/>
          <w:sz w:val="32"/>
          <w:szCs w:val="32"/>
          <w:lang w:val="en-US" w:eastAsia="zh-CN"/>
        </w:rPr>
      </w:pPr>
    </w:p>
    <w:p>
      <w:pPr>
        <w:widowControl/>
        <w:spacing w:line="560" w:lineRule="exact"/>
        <w:jc w:val="left"/>
        <w:rPr>
          <w:rFonts w:hint="eastAsia" w:ascii="仿宋_GB2312" w:hAnsi="仿宋_GB2312" w:eastAsia="仿宋_GB2312" w:cs="仿宋_GB2312"/>
          <w:sz w:val="32"/>
          <w:szCs w:val="32"/>
          <w:lang w:val="en-US" w:eastAsia="zh-CN"/>
        </w:rPr>
      </w:pPr>
    </w:p>
    <w:p>
      <w:pPr>
        <w:widowControl/>
        <w:spacing w:line="560" w:lineRule="exact"/>
        <w:jc w:val="left"/>
        <w:rPr>
          <w:rFonts w:hint="eastAsia" w:ascii="仿宋_GB2312" w:hAnsi="仿宋_GB2312" w:eastAsia="仿宋_GB2312" w:cs="仿宋_GB2312"/>
          <w:sz w:val="32"/>
          <w:szCs w:val="32"/>
          <w:lang w:val="en-US" w:eastAsia="zh-CN"/>
        </w:rPr>
      </w:pPr>
    </w:p>
    <w:p>
      <w:pPr>
        <w:widowControl/>
        <w:spacing w:line="560" w:lineRule="exact"/>
        <w:jc w:val="left"/>
        <w:rPr>
          <w:rFonts w:hint="eastAsia" w:ascii="仿宋_GB2312" w:hAnsi="仿宋_GB2312" w:eastAsia="仿宋_GB2312" w:cs="仿宋_GB2312"/>
          <w:sz w:val="32"/>
          <w:szCs w:val="32"/>
          <w:lang w:val="en-US" w:eastAsia="zh-CN"/>
        </w:rPr>
      </w:pPr>
    </w:p>
    <w:p>
      <w:pPr>
        <w:widowControl/>
        <w:spacing w:line="560" w:lineRule="exact"/>
        <w:jc w:val="left"/>
        <w:rPr>
          <w:rFonts w:hint="eastAsia" w:ascii="仿宋_GB2312" w:hAnsi="仿宋_GB2312" w:eastAsia="仿宋_GB2312" w:cs="仿宋_GB2312"/>
          <w:sz w:val="32"/>
          <w:szCs w:val="32"/>
          <w:lang w:val="en-US" w:eastAsia="zh-CN"/>
        </w:rPr>
      </w:pPr>
    </w:p>
    <w:p>
      <w:pPr>
        <w:widowControl/>
        <w:spacing w:line="560" w:lineRule="exact"/>
        <w:jc w:val="left"/>
        <w:rPr>
          <w:rFonts w:hint="eastAsia" w:ascii="仿宋_GB2312" w:hAnsi="仿宋_GB2312" w:eastAsia="仿宋_GB2312" w:cs="仿宋_GB2312"/>
          <w:sz w:val="32"/>
          <w:szCs w:val="32"/>
          <w:lang w:val="en-US" w:eastAsia="zh-CN"/>
        </w:rPr>
      </w:pPr>
    </w:p>
    <w:p>
      <w:pPr>
        <w:widowControl/>
        <w:spacing w:line="560" w:lineRule="exact"/>
        <w:jc w:val="left"/>
        <w:rPr>
          <w:rFonts w:hint="eastAsia" w:ascii="仿宋_GB2312" w:hAnsi="仿宋_GB2312" w:eastAsia="仿宋_GB2312" w:cs="仿宋_GB2312"/>
          <w:sz w:val="32"/>
          <w:szCs w:val="32"/>
          <w:lang w:val="en-US" w:eastAsia="zh-CN"/>
        </w:rPr>
      </w:pPr>
    </w:p>
    <w:p>
      <w:pPr>
        <w:spacing w:line="540" w:lineRule="exact"/>
        <w:outlineLvl w:val="0"/>
        <w:rPr>
          <w:rFonts w:hint="eastAsia" w:ascii="黑体" w:hAnsi="黑体" w:eastAsia="黑体" w:cs="黑体"/>
          <w:szCs w:val="32"/>
          <w:lang w:eastAsia="zh-CN"/>
        </w:rPr>
      </w:pPr>
      <w:r>
        <w:rPr>
          <w:rFonts w:hint="eastAsia" w:ascii="黑体" w:hAnsi="黑体" w:eastAsia="黑体" w:cs="黑体"/>
          <w:szCs w:val="32"/>
        </w:rPr>
        <w:t>附</w:t>
      </w:r>
      <w:r>
        <w:rPr>
          <w:rFonts w:hint="eastAsia" w:ascii="黑体" w:hAnsi="黑体" w:eastAsia="黑体" w:cs="黑体"/>
          <w:szCs w:val="32"/>
          <w:lang w:eastAsia="zh-CN"/>
        </w:rPr>
        <w:t>表</w:t>
      </w:r>
    </w:p>
    <w:p>
      <w:pPr>
        <w:spacing w:line="540" w:lineRule="exact"/>
        <w:ind w:firstLine="640"/>
        <w:rPr>
          <w:rFonts w:ascii="Times New Roman" w:hAnsi="Times New Roman" w:eastAsia="仿宋_GB2312"/>
          <w:szCs w:val="32"/>
        </w:rPr>
      </w:pPr>
    </w:p>
    <w:p>
      <w:pPr>
        <w:pStyle w:val="7"/>
        <w:spacing w:line="540" w:lineRule="exact"/>
        <w:rPr>
          <w:rFonts w:ascii="Times New Roman" w:hAnsi="Times New Roman" w:cs="宋体"/>
          <w:b w:val="0"/>
          <w:bCs w:val="0"/>
          <w:sz w:val="44"/>
          <w:szCs w:val="44"/>
          <w:vertAlign w:val="superscript"/>
          <w:lang w:eastAsia="zh-Hans"/>
        </w:rPr>
      </w:pPr>
      <w:r>
        <w:rPr>
          <w:rFonts w:hint="eastAsia" w:ascii="Times New Roman" w:hAnsi="Times New Roman" w:cs="宋体"/>
          <w:b w:val="0"/>
          <w:bCs w:val="0"/>
          <w:sz w:val="44"/>
          <w:szCs w:val="44"/>
          <w:lang w:eastAsia="zh-Hans"/>
        </w:rPr>
        <w:t>制造业中小企业数字化水平评测表</w:t>
      </w:r>
    </w:p>
    <w:p>
      <w:pPr>
        <w:pStyle w:val="7"/>
        <w:spacing w:line="540" w:lineRule="exact"/>
        <w:rPr>
          <w:rFonts w:ascii="Times New Roman" w:hAnsi="Times New Roman" w:cs="宋体"/>
          <w:b w:val="0"/>
          <w:bCs w:val="0"/>
          <w:sz w:val="44"/>
          <w:szCs w:val="44"/>
        </w:rPr>
      </w:pPr>
      <w:r>
        <w:rPr>
          <w:rFonts w:hint="eastAsia" w:ascii="Times New Roman" w:hAnsi="Times New Roman" w:cs="宋体"/>
          <w:b w:val="0"/>
          <w:bCs w:val="0"/>
          <w:sz w:val="44"/>
          <w:szCs w:val="44"/>
        </w:rPr>
        <w:t>（2022年版）</w:t>
      </w:r>
      <w:bookmarkStart w:id="0" w:name="_Hlk107990593"/>
      <w:r>
        <w:rPr>
          <w:rFonts w:hint="eastAsia" w:cs="宋体"/>
          <w:b w:val="0"/>
          <w:bCs w:val="0"/>
          <w:sz w:val="44"/>
          <w:szCs w:val="44"/>
          <w:vertAlign w:val="superscript"/>
          <w:lang w:eastAsia="zh-Hans"/>
        </w:rPr>
        <w:footnoteReference w:id="0"/>
      </w:r>
      <w:bookmarkEnd w:id="0"/>
    </w:p>
    <w:p>
      <w:pPr>
        <w:spacing w:line="540" w:lineRule="exact"/>
        <w:ind w:firstLine="640"/>
        <w:rPr>
          <w:rFonts w:ascii="Times New Roman" w:hAnsi="Times New Roman" w:eastAsia="仿宋_GB2312"/>
          <w:szCs w:val="32"/>
        </w:rPr>
      </w:pPr>
    </w:p>
    <w:tbl>
      <w:tblPr>
        <w:tblStyle w:val="9"/>
        <w:tblW w:w="9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1135"/>
        <w:gridCol w:w="1309"/>
        <w:gridCol w:w="5012"/>
        <w:gridCol w:w="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135" w:type="dxa"/>
            <w:noWrap w:val="0"/>
            <w:vAlign w:val="center"/>
          </w:tcPr>
          <w:p>
            <w:pPr>
              <w:snapToGrid w:val="0"/>
              <w:spacing w:line="240" w:lineRule="atLeast"/>
              <w:contextualSpacing/>
              <w:jc w:val="center"/>
              <w:rPr>
                <w:rFonts w:ascii="仿宋_GB2312" w:hAnsi="仿宋_GB2312" w:eastAsia="仿宋_GB2312" w:cs="仿宋_GB2312"/>
                <w:b/>
                <w:sz w:val="24"/>
              </w:rPr>
            </w:pPr>
            <w:r>
              <w:rPr>
                <w:rFonts w:ascii="仿宋_GB2312" w:hAnsi="仿宋_GB2312" w:eastAsia="仿宋_GB2312" w:cs="仿宋_GB2312"/>
                <w:b/>
                <w:sz w:val="24"/>
              </w:rPr>
              <w:t>一级指标及权重</w:t>
            </w:r>
          </w:p>
        </w:tc>
        <w:tc>
          <w:tcPr>
            <w:tcW w:w="1135" w:type="dxa"/>
            <w:noWrap w:val="0"/>
            <w:vAlign w:val="center"/>
          </w:tcPr>
          <w:p>
            <w:pPr>
              <w:snapToGrid w:val="0"/>
              <w:spacing w:line="240" w:lineRule="atLeast"/>
              <w:contextualSpacing/>
              <w:jc w:val="center"/>
              <w:rPr>
                <w:rFonts w:ascii="仿宋_GB2312" w:hAnsi="仿宋_GB2312" w:eastAsia="仿宋_GB2312" w:cs="仿宋_GB2312"/>
                <w:b/>
                <w:sz w:val="24"/>
              </w:rPr>
            </w:pPr>
            <w:r>
              <w:rPr>
                <w:rFonts w:ascii="仿宋_GB2312" w:hAnsi="仿宋_GB2312" w:eastAsia="仿宋_GB2312" w:cs="仿宋_GB2312"/>
                <w:b/>
                <w:sz w:val="24"/>
              </w:rPr>
              <w:t>二级指标及权重</w:t>
            </w:r>
          </w:p>
        </w:tc>
        <w:tc>
          <w:tcPr>
            <w:tcW w:w="1309" w:type="dxa"/>
            <w:noWrap w:val="0"/>
            <w:vAlign w:val="center"/>
          </w:tcPr>
          <w:p>
            <w:pPr>
              <w:snapToGrid w:val="0"/>
              <w:spacing w:line="240" w:lineRule="atLeast"/>
              <w:contextualSpacing/>
              <w:jc w:val="center"/>
              <w:rPr>
                <w:rFonts w:ascii="仿宋_GB2312" w:hAnsi="仿宋_GB2312" w:eastAsia="仿宋_GB2312" w:cs="仿宋_GB2312"/>
                <w:b/>
                <w:sz w:val="24"/>
              </w:rPr>
            </w:pPr>
            <w:r>
              <w:rPr>
                <w:rFonts w:ascii="仿宋_GB2312" w:hAnsi="仿宋_GB2312" w:eastAsia="仿宋_GB2312" w:cs="仿宋_GB2312"/>
                <w:b/>
                <w:sz w:val="24"/>
              </w:rPr>
              <w:t>序号</w:t>
            </w:r>
          </w:p>
        </w:tc>
        <w:tc>
          <w:tcPr>
            <w:tcW w:w="5012" w:type="dxa"/>
            <w:noWrap w:val="0"/>
            <w:vAlign w:val="center"/>
          </w:tcPr>
          <w:p>
            <w:pPr>
              <w:snapToGrid w:val="0"/>
              <w:spacing w:line="240" w:lineRule="atLeast"/>
              <w:contextualSpacing/>
              <w:jc w:val="center"/>
              <w:rPr>
                <w:rFonts w:ascii="仿宋_GB2312" w:hAnsi="仿宋_GB2312" w:eastAsia="仿宋_GB2312" w:cs="仿宋_GB2312"/>
                <w:b/>
                <w:sz w:val="24"/>
              </w:rPr>
            </w:pPr>
            <w:r>
              <w:rPr>
                <w:rFonts w:ascii="仿宋_GB2312" w:hAnsi="仿宋_GB2312" w:eastAsia="仿宋_GB2312" w:cs="仿宋_GB2312"/>
                <w:b/>
                <w:sz w:val="24"/>
              </w:rPr>
              <w:t>问卷</w:t>
            </w:r>
          </w:p>
        </w:tc>
        <w:tc>
          <w:tcPr>
            <w:tcW w:w="459" w:type="dxa"/>
            <w:noWrap w:val="0"/>
            <w:vAlign w:val="center"/>
          </w:tcPr>
          <w:p>
            <w:pPr>
              <w:snapToGrid w:val="0"/>
              <w:spacing w:line="240" w:lineRule="atLeast"/>
              <w:contextualSpacing/>
              <w:jc w:val="center"/>
              <w:rPr>
                <w:rFonts w:ascii="仿宋_GB2312" w:hAnsi="仿宋_GB2312" w:eastAsia="仿宋_GB2312" w:cs="仿宋_GB2312"/>
                <w:b/>
                <w:sz w:val="24"/>
              </w:rPr>
            </w:pPr>
            <w:r>
              <w:rPr>
                <w:rFonts w:ascii="仿宋_GB2312" w:hAnsi="仿宋_GB2312" w:eastAsia="仿宋_GB2312" w:cs="仿宋_GB2312"/>
                <w:b/>
                <w:sz w:val="24"/>
              </w:rPr>
              <w:t>题型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restart"/>
            <w:noWrap w:val="0"/>
            <w:vAlign w:val="center"/>
          </w:tcPr>
          <w:p>
            <w:pPr>
              <w:snapToGrid w:val="0"/>
              <w:spacing w:line="240" w:lineRule="atLeast"/>
              <w:contextualSpacing/>
              <w:jc w:val="center"/>
              <w:rPr>
                <w:rFonts w:ascii="仿宋_GB2312" w:hAnsi="仿宋_GB2312" w:eastAsia="仿宋_GB2312" w:cs="仿宋_GB2312"/>
                <w:sz w:val="24"/>
              </w:rPr>
            </w:pPr>
            <w:r>
              <w:rPr>
                <w:rFonts w:hint="eastAsia" w:ascii="仿宋_GB2312" w:hAnsi="仿宋_GB2312" w:eastAsia="仿宋_GB2312" w:cs="仿宋_GB2312"/>
                <w:sz w:val="24"/>
              </w:rPr>
              <w:t>一、</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数字化基础</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（25%）</w:t>
            </w:r>
          </w:p>
        </w:tc>
        <w:tc>
          <w:tcPr>
            <w:tcW w:w="1135" w:type="dxa"/>
            <w:vMerge w:val="restart"/>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设备</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系统</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kern w:val="0"/>
                <w:sz w:val="24"/>
              </w:rPr>
              <w:t>40%）</w:t>
            </w: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（20%）</w:t>
            </w:r>
          </w:p>
        </w:tc>
        <w:tc>
          <w:tcPr>
            <w:tcW w:w="5012"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企业的数字化设备覆盖范围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□单个业务环节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□关键业务环节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□绝大部分业务环节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□全覆盖</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（30%）</w:t>
            </w:r>
          </w:p>
        </w:tc>
        <w:tc>
          <w:tcPr>
            <w:tcW w:w="5012"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企业的数字化设备联网率</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□[0-10%]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□(10%,20%]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□(20%,30%]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□(30%,40%]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□40%以上</w:t>
            </w:r>
          </w:p>
        </w:tc>
        <w:tc>
          <w:tcPr>
            <w:tcW w:w="459"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3</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（30%）</w:t>
            </w:r>
          </w:p>
        </w:tc>
        <w:tc>
          <w:tcPr>
            <w:tcW w:w="5012"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企业的关键工序数控化率</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□[0-30%]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□(30%,45%]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□(45%,60%]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□60%以上</w:t>
            </w:r>
          </w:p>
        </w:tc>
        <w:tc>
          <w:tcPr>
            <w:tcW w:w="459"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4</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（20%）</w:t>
            </w:r>
          </w:p>
        </w:tc>
        <w:tc>
          <w:tcPr>
            <w:tcW w:w="5012"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企业通过部署工业互联网公有云/私有云/混合云平台等形式，实现业务的数字化管理情况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□单个业务环节</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□关键业务环节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□绝大部分业务环节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□全覆盖</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135" w:type="dxa"/>
            <w:vMerge w:val="restart"/>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数据</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资源</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kern w:val="0"/>
                <w:sz w:val="24"/>
              </w:rPr>
              <w:t>30%）</w:t>
            </w: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5</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（60%）</w:t>
            </w:r>
          </w:p>
        </w:tc>
        <w:tc>
          <w:tcPr>
            <w:tcW w:w="5012"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企业实现数据自动/半自动获取并展示的业务环节覆盖范围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□研发设计 □生产管控 □质量控制 □仓储配送（厂内） □设备管理 □采购 □销售 □物流（厂外） □财务 □人力 □以上均无</w:t>
            </w:r>
          </w:p>
        </w:tc>
        <w:tc>
          <w:tcPr>
            <w:tcW w:w="459"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6</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（40%）</w:t>
            </w:r>
          </w:p>
        </w:tc>
        <w:tc>
          <w:tcPr>
            <w:tcW w:w="5012"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企业实现各类数据汇聚及应用的情况</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□建立了统一的数据编码、数据交换格式和规则等</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□实现了数据及分析结果的跨部门共享</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□构建了数据算法模型，支撑业务人员进行数据分析</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□构建了可视化数据分析工具</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135"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网络</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安全</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kern w:val="0"/>
                <w:sz w:val="24"/>
              </w:rPr>
              <w:t>30%）</w:t>
            </w: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7</w:t>
            </w:r>
          </w:p>
        </w:tc>
        <w:tc>
          <w:tcPr>
            <w:tcW w:w="5012"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企业在保障网络安全方面采取的举措情况</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□使用了工业级网络安全产品及服务，尚未建立网络安全保障制度</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□建立了网络安全保障制度，尚未开展网络安全等级自评估</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□开展了网络安全等级自评估，尚未通过第三方机构的验收认定</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□网络安全等级评估通过了第三方机构的验收认定</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restart"/>
            <w:noWrap w:val="0"/>
            <w:vAlign w:val="center"/>
          </w:tcPr>
          <w:p>
            <w:pPr>
              <w:snapToGrid w:val="0"/>
              <w:spacing w:line="240" w:lineRule="atLeast"/>
              <w:contextualSpacing/>
              <w:jc w:val="center"/>
              <w:rPr>
                <w:rFonts w:ascii="仿宋_GB2312" w:hAnsi="仿宋_GB2312" w:eastAsia="仿宋_GB2312" w:cs="仿宋_GB2312"/>
                <w:sz w:val="24"/>
              </w:rPr>
            </w:pPr>
            <w:r>
              <w:rPr>
                <w:rFonts w:hint="eastAsia" w:ascii="仿宋_GB2312" w:hAnsi="仿宋_GB2312" w:eastAsia="仿宋_GB2312" w:cs="仿宋_GB2312"/>
                <w:sz w:val="24"/>
              </w:rPr>
              <w:t>二、</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数字化经营</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kern w:val="0"/>
                <w:sz w:val="24"/>
              </w:rPr>
              <w:t>45%）</w:t>
            </w:r>
          </w:p>
        </w:tc>
        <w:tc>
          <w:tcPr>
            <w:tcW w:w="1135"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研发</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设计</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kern w:val="0"/>
                <w:sz w:val="24"/>
              </w:rPr>
              <w:t>14%）</w:t>
            </w:r>
          </w:p>
        </w:tc>
        <w:tc>
          <w:tcPr>
            <w:tcW w:w="13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8</w:t>
            </w:r>
          </w:p>
        </w:tc>
        <w:tc>
          <w:tcPr>
            <w:tcW w:w="5012"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研发设计环节，企业开展数字化研发设计的情况</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（50%以上关键业务研发设计项目实现下列数字化场景即可勾选该项）</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□应用二维、三维计算机设计软件辅助开展设计工作</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□使用PDM或PLM等软件实现文档、数据、流程等的共享和统一管理</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□建设和应用产品设计标准库、组件库或知识库</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□将产品设计信息集成于产品的数字化模型中，实现产品设计数据的唯一性</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□实现产品设计和工艺设计间的信息交互和并行协同</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135" w:type="dxa"/>
            <w:vMerge w:val="restart"/>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生产</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管控</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kern w:val="0"/>
                <w:sz w:val="24"/>
              </w:rPr>
              <w:t>42%）</w:t>
            </w: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9</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（20%）</w:t>
            </w:r>
          </w:p>
        </w:tc>
        <w:tc>
          <w:tcPr>
            <w:tcW w:w="5012"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生产计划环节，企业实现生产计划排产排程的情况</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□通过信息系统实现具有约束条件的主生产计划生产和物料需求计算</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□通过信息系统开展车间计划排产</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□部分车间生产计划实现自动排产</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□全部车间生产计划实现自动排产</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10</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（10%）</w:t>
            </w:r>
          </w:p>
        </w:tc>
        <w:tc>
          <w:tcPr>
            <w:tcW w:w="5012"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生产监控环节，企业利用信息系统实现生产过程监控的情况</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□设备：能够在一种或多种单个设备层面实现生产过程监控</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□工序：能够在一道或多道工序层面实现生产过程监控。</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□生产线：能够在一条或多条生产线层面实现生产过程监控</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□车间：能够在一个或多个车间层面实现生产过程监控。</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11</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（30%）</w:t>
            </w:r>
          </w:p>
        </w:tc>
        <w:tc>
          <w:tcPr>
            <w:tcW w:w="5012"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生产作业环节，企业实现智能制造典型场景的覆盖范围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□自动巡检：应用智能巡检装备或设备管理系统，集成数字化技术，实现对设备的高效巡检或异常报警等（50%以上关键业务设备实现下列数字化场景即可勾选该项）</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□生产过程可视化：依托各类生产、系统集成，实现生产成本、交期或订单执行进度的可视化（50%以上关键业务生产成本、交期或订单执行进度实现即可勾选）</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□精益生产管理：应用数字化工具和方法，开展数据驱动的人、机、料等精确管控，减少生产浪费（50%以上关键业务人、机、料等实现即可勾选）</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□人机协同作业：集成机器人、高端机床或人机交互设备等智能装备，应用AR/VR、机器视觉等技术，实现生产的高效组织和作业协同（50%以上关键产线实现即可勾选）</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基于数字孪生的制造：构建装备、产线、车间、工厂等一种或几种不同层级的数字孪生系统，实现物理世界和虚拟空间的实时映射，推动感知、分析、预测和控制能力的全面提升（某一或几种/个关键装备、产线、车间或工厂实现即可勾选）</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12</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（20%）</w:t>
            </w:r>
          </w:p>
        </w:tc>
        <w:tc>
          <w:tcPr>
            <w:tcW w:w="5012"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质量控制环节，企业运用数字化手段提高质量控制能力的重点场景覆盖范围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（某一种或几种关键产品或物料实现即可勾选）</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□数字化检测：应用数字化设备和技术，实现关键环节的在线检测、分析、结果判定</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□质量精准追溯：应用数字化技术，采集产品原料、生产过程、客户使用的质量信息等信息，实现产品质量全过程精准追溯</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□产品质量优化：应用数字化技术，实现产品质量影响因素识别、缺陷分析预测或质量优化提升</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□质量控制协同：利用数字化手段实现质量控制与相关业务的协同，包括质量与规范同步、检测数据与设备信息同步、供应商质量信息同步、客户质量信息同步等</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13</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（20%）</w:t>
            </w:r>
          </w:p>
        </w:tc>
        <w:tc>
          <w:tcPr>
            <w:tcW w:w="5012"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仓储物流环节：企业实现仓储物流数字化场景的覆盖范围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（注1：50%以上关键原料、半成品、成品等实现下列数字化场景即可勾选该项）</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（注2：通过第三方、第四方物流实现的仓储物流数字化，如覆盖下述场景也可勾选）</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□物料条码管理：统一条码管理标识货物</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□智能仓储：应用数字化技术，依据实际生产作业计划，实现物料自动入库（进厂）、盘库或出库（出厂）</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□精准配送：应用数字化技术，实现动态调度、自动配送或路径优化</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□物料实时跟踪：应用制造执行系统（MES）或仓储管理系统（WMS），采用数字化技术，实现原材料、在制品或产成品流转的全程跟踪</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□物流监测与优化：依托运输管理系统（TMS），应用数字化技术，实现运输配送全程跟踪或异常预警，装载能力优化或配送路径优化</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135"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采购</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供应</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kern w:val="0"/>
                <w:sz w:val="24"/>
              </w:rPr>
              <w:t>10%）</w:t>
            </w: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14</w:t>
            </w:r>
          </w:p>
        </w:tc>
        <w:tc>
          <w:tcPr>
            <w:tcW w:w="5012"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采购供应环节：企业实现采购管理数字化场景的覆盖范围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（50%以上关键业务采购活动实现下列数字化场景即可勾选该项）</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□采购管理信息化：通过信息系统实现采购计划</w:t>
            </w:r>
            <w:r>
              <w:rPr>
                <w:rFonts w:hint="eastAsia" w:ascii="仿宋_GB2312" w:hAnsi="仿宋_GB2312" w:eastAsia="仿宋_GB2312" w:cs="仿宋_GB2312"/>
                <w:sz w:val="24"/>
              </w:rPr>
              <w:t>管理</w:t>
            </w:r>
            <w:r>
              <w:rPr>
                <w:rFonts w:ascii="仿宋_GB2312" w:hAnsi="仿宋_GB2312" w:eastAsia="仿宋_GB2312" w:cs="仿宋_GB2312"/>
                <w:sz w:val="24"/>
              </w:rPr>
              <w:t>、采购过程管理和供应商管理</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□采购策略优化：建设供应链管理系统（SCM），集成数字化技术，实现供应商综合评价、采购需求精准决策或采购方案动态优化</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□供应链可视化：搭建供应链管理系统（SCM），融合数字化技术，实现供应链可视化监控。</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□供应链风险预警与弹性管控：建立供应链管理系统（SCM），集成数字化技术，开展供应链风险隐患识别、定位、预警或高效处置</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□采购协同：利用数字化技术实现采购供应与相关业务的协同，包括业务配合同步、质量与规范同步、结算对账同步、库存与计划同步等</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135"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营销</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管理</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kern w:val="0"/>
                <w:sz w:val="24"/>
              </w:rPr>
              <w:t>10%）</w:t>
            </w: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15</w:t>
            </w:r>
          </w:p>
        </w:tc>
        <w:tc>
          <w:tcPr>
            <w:tcW w:w="5012" w:type="dxa"/>
            <w:noWrap w:val="0"/>
            <w:vAlign w:val="center"/>
          </w:tcPr>
          <w:p>
            <w:pPr>
              <w:snapToGrid w:val="0"/>
              <w:spacing w:line="240" w:lineRule="atLeast"/>
              <w:contextualSpacing/>
              <w:jc w:val="left"/>
              <w:rPr>
                <w:rFonts w:ascii="仿宋_GB2312" w:hAnsi="仿宋_GB2312" w:eastAsia="仿宋_GB2312" w:cs="仿宋_GB2312"/>
                <w:sz w:val="24"/>
              </w:rPr>
            </w:pPr>
            <w:r>
              <w:rPr>
                <w:rFonts w:ascii="仿宋_GB2312" w:hAnsi="仿宋_GB2312" w:eastAsia="仿宋_GB2312" w:cs="仿宋_GB2312"/>
                <w:sz w:val="24"/>
              </w:rPr>
              <w:t>营销管理环节，企业实现营销管理数字化场景的覆盖范围</w:t>
            </w:r>
          </w:p>
          <w:p>
            <w:pPr>
              <w:snapToGrid w:val="0"/>
              <w:spacing w:line="240" w:lineRule="atLeast"/>
              <w:contextualSpacing/>
              <w:jc w:val="left"/>
              <w:rPr>
                <w:rFonts w:ascii="仿宋_GB2312" w:hAnsi="仿宋_GB2312" w:eastAsia="仿宋_GB2312" w:cs="仿宋_GB2312"/>
                <w:sz w:val="24"/>
              </w:rPr>
            </w:pPr>
            <w:r>
              <w:rPr>
                <w:rFonts w:ascii="仿宋_GB2312" w:hAnsi="仿宋_GB2312" w:eastAsia="仿宋_GB2312" w:cs="仿宋_GB2312"/>
                <w:sz w:val="24"/>
              </w:rPr>
              <w:t>（50%以上关键业务市场营销实现下列数字化场景即可勾选该项）</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□销售计划动态优化：依托客户关系管理系统（CRM），应用数字化技术，实现挖掘分析客户信息、构建用户画像、构建需求预测模型或制定精准销售计划</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□市场快速分析预测：应用数字化技术，实现对市场未来供求趋势、影响因素或其变化规律的精准分析、判断或预测</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□销售驱动业务优化：应用数字化技术，根据客户需求变化，动态调整设计采购、生产或物流等方案</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135"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产品</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服务</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kern w:val="0"/>
                <w:sz w:val="24"/>
              </w:rPr>
              <w:t>14%）</w:t>
            </w: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16</w:t>
            </w:r>
          </w:p>
        </w:tc>
        <w:tc>
          <w:tcPr>
            <w:tcW w:w="5012"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产品服务环节，企业实现产品服务数字化场景的覆盖范围</w:t>
            </w:r>
          </w:p>
          <w:p>
            <w:pPr>
              <w:snapToGrid w:val="0"/>
              <w:spacing w:line="240" w:lineRule="atLeast"/>
              <w:contextualSpacing/>
              <w:rPr>
                <w:rFonts w:ascii="仿宋_GB2312" w:hAnsi="仿宋_GB2312" w:eastAsia="仿宋_GB2312" w:cs="仿宋_GB2312"/>
                <w:sz w:val="24"/>
              </w:rPr>
            </w:pP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（1）</w:t>
            </w:r>
            <w:bookmarkStart w:id="1" w:name="_Hlk104714702"/>
            <w:r>
              <w:rPr>
                <w:rFonts w:ascii="仿宋_GB2312" w:hAnsi="仿宋_GB2312" w:eastAsia="仿宋_GB2312" w:cs="仿宋_GB2312"/>
                <w:sz w:val="24"/>
              </w:rPr>
              <w:t>利用信息系统实现售后服务数字化管理</w:t>
            </w:r>
            <w:bookmarkEnd w:id="1"/>
            <w:r>
              <w:rPr>
                <w:rFonts w:ascii="仿宋_GB2312" w:hAnsi="仿宋_GB2312" w:eastAsia="仿宋_GB2312" w:cs="仿宋_GB2312"/>
                <w:sz w:val="24"/>
              </w:rPr>
              <w:t>的情况（50%以上关键产品售后服务实现下列数字化场景即可勾选该项）</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□退换货质量管理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□客户体验调查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□客户满意度调查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p>
            <w:pPr>
              <w:snapToGrid w:val="0"/>
              <w:spacing w:line="240" w:lineRule="atLeast"/>
              <w:contextualSpacing/>
              <w:rPr>
                <w:rFonts w:ascii="仿宋_GB2312" w:hAnsi="仿宋_GB2312" w:eastAsia="仿宋_GB2312" w:cs="仿宋_GB2312"/>
                <w:sz w:val="24"/>
              </w:rPr>
            </w:pP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（2）利用数字化技术实现售后服务与相关业务的协同情况（50%以上关键产品售后服务实现下列数字化场景即可勾选该项）</w:t>
            </w:r>
          </w:p>
          <w:p>
            <w:pPr>
              <w:snapToGrid w:val="0"/>
              <w:spacing w:line="240" w:lineRule="atLeast"/>
              <w:ind w:left="240" w:hanging="240" w:hangingChars="100"/>
              <w:contextualSpacing/>
              <w:rPr>
                <w:rFonts w:ascii="仿宋_GB2312" w:hAnsi="仿宋_GB2312" w:eastAsia="仿宋_GB2312" w:cs="仿宋_GB2312"/>
                <w:sz w:val="24"/>
              </w:rPr>
            </w:pPr>
            <w:r>
              <w:rPr>
                <w:rFonts w:ascii="仿宋_GB2312" w:hAnsi="仿宋_GB2312" w:eastAsia="仿宋_GB2312" w:cs="仿宋_GB2312"/>
                <w:sz w:val="24"/>
              </w:rPr>
              <w:t xml:space="preserve">□售后配件与库存协同 </w:t>
            </w:r>
          </w:p>
          <w:p>
            <w:pPr>
              <w:snapToGrid w:val="0"/>
              <w:spacing w:line="240" w:lineRule="atLeast"/>
              <w:ind w:left="240" w:hanging="240" w:hangingChars="100"/>
              <w:contextualSpacing/>
              <w:rPr>
                <w:rFonts w:ascii="仿宋_GB2312" w:hAnsi="仿宋_GB2312" w:eastAsia="仿宋_GB2312" w:cs="仿宋_GB2312"/>
                <w:sz w:val="24"/>
              </w:rPr>
            </w:pPr>
            <w:r>
              <w:rPr>
                <w:rFonts w:ascii="仿宋_GB2312" w:hAnsi="仿宋_GB2312" w:eastAsia="仿宋_GB2312" w:cs="仿宋_GB2312"/>
                <w:sz w:val="24"/>
              </w:rPr>
              <w:t>□失效产品追溯与质量根因分析</w:t>
            </w:r>
          </w:p>
          <w:p>
            <w:pPr>
              <w:snapToGrid w:val="0"/>
              <w:spacing w:line="240" w:lineRule="atLeast"/>
              <w:ind w:left="240" w:hanging="240" w:hangingChars="100"/>
              <w:contextualSpacing/>
              <w:rPr>
                <w:rFonts w:ascii="仿宋_GB2312" w:hAnsi="仿宋_GB2312" w:eastAsia="仿宋_GB2312" w:cs="仿宋_GB2312"/>
                <w:sz w:val="24"/>
              </w:rPr>
            </w:pPr>
            <w:r>
              <w:rPr>
                <w:rFonts w:ascii="仿宋_GB2312" w:hAnsi="仿宋_GB2312" w:eastAsia="仿宋_GB2312" w:cs="仿宋_GB2312"/>
                <w:sz w:val="24"/>
              </w:rPr>
              <w:t xml:space="preserve">□失效原因与设计优化协同 </w:t>
            </w:r>
          </w:p>
          <w:p>
            <w:pPr>
              <w:snapToGrid w:val="0"/>
              <w:spacing w:line="240" w:lineRule="atLeast"/>
              <w:ind w:left="240" w:hanging="240" w:hangingChars="100"/>
              <w:contextualSpacing/>
              <w:rPr>
                <w:rFonts w:ascii="仿宋_GB2312" w:hAnsi="仿宋_GB2312" w:eastAsia="仿宋_GB2312" w:cs="仿宋_GB2312"/>
                <w:sz w:val="24"/>
              </w:rPr>
            </w:pPr>
            <w:r>
              <w:rPr>
                <w:rFonts w:ascii="仿宋_GB2312" w:hAnsi="仿宋_GB2312" w:eastAsia="仿宋_GB2312" w:cs="仿宋_GB2312"/>
                <w:sz w:val="24"/>
              </w:rPr>
              <w:t>□以上均无</w:t>
            </w:r>
          </w:p>
          <w:p>
            <w:pPr>
              <w:snapToGrid w:val="0"/>
              <w:spacing w:line="240" w:lineRule="atLeast"/>
              <w:contextualSpacing/>
              <w:rPr>
                <w:rFonts w:ascii="仿宋_GB2312" w:hAnsi="仿宋_GB2312" w:eastAsia="仿宋_GB2312" w:cs="仿宋_GB2312"/>
                <w:sz w:val="24"/>
              </w:rPr>
            </w:pP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（3）新一代信息技术在新型智能产品中应用场景的覆盖范围（某一种或几种关键产品实现下列数字化场景即可勾选该项）</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□数据增值服务：分析产品的运行工况等数据，应用数字化技术，提供设备估值、融资租赁、资产处置等新业务</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□主动客户服务：依托客户关系管理系统（CRM），集成数字化技术，实现精细化管理或主动式客户服务</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□用户直连制造：通过用户和企业的深度交互，提供满足个性化需求的产品定制设计、柔性化生产或个性化服务</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□大批量定制：通过生产柔性化、敏捷化或产品模块化，根据客户的个性化需求，以大批量生产方式提供定制化的产品和服务</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□产品的远程运维：依托产品远程运维管理平台，实现基于运行数据的产品远程监控、预测性维护或产品设计的持续改进</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135"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业务</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协同</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w:t>
            </w:r>
            <w:r>
              <w:rPr>
                <w:rFonts w:ascii="仿宋_GB2312" w:hAnsi="仿宋_GB2312" w:eastAsia="仿宋_GB2312" w:cs="仿宋_GB2312"/>
                <w:kern w:val="0"/>
                <w:sz w:val="24"/>
              </w:rPr>
              <w:t>10%）</w:t>
            </w: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17</w:t>
            </w:r>
          </w:p>
        </w:tc>
        <w:tc>
          <w:tcPr>
            <w:tcW w:w="5012"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业务协同方面，企业使用数字化技术实现企业间业务协同数字化场景的覆盖范围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（50%以上关键业务客户、上游供应企业或合作伙伴使用数字化技术实现下列数字化场景即可勾选该项）</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□实现研发设计协同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□实现生产制造协同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□实现订货业务协同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□实现物流仓储协同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□实现财务结算协同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□以上均无 </w:t>
            </w:r>
          </w:p>
        </w:tc>
        <w:tc>
          <w:tcPr>
            <w:tcW w:w="459"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restart"/>
            <w:noWrap w:val="0"/>
            <w:vAlign w:val="center"/>
          </w:tcPr>
          <w:p>
            <w:pPr>
              <w:snapToGrid w:val="0"/>
              <w:spacing w:line="240" w:lineRule="atLeast"/>
              <w:contextualSpacing/>
              <w:jc w:val="center"/>
              <w:rPr>
                <w:rFonts w:ascii="仿宋_GB2312" w:hAnsi="仿宋_GB2312" w:eastAsia="仿宋_GB2312" w:cs="仿宋_GB2312"/>
                <w:sz w:val="24"/>
              </w:rPr>
            </w:pPr>
            <w:r>
              <w:rPr>
                <w:rFonts w:hint="eastAsia" w:ascii="仿宋_GB2312" w:hAnsi="仿宋_GB2312" w:eastAsia="仿宋_GB2312" w:cs="仿宋_GB2312"/>
                <w:sz w:val="24"/>
              </w:rPr>
              <w:t>三、</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数字化管理</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（20%）</w:t>
            </w:r>
          </w:p>
        </w:tc>
        <w:tc>
          <w:tcPr>
            <w:tcW w:w="1135"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经营</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战略</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（15%）</w:t>
            </w: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18</w:t>
            </w:r>
          </w:p>
        </w:tc>
        <w:tc>
          <w:tcPr>
            <w:tcW w:w="5012"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企业数字化转型意识与执行水平情况</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□已经对数字化转型有了明确的目标（至少半年为期）</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□已制定了数字化转型规划及具体的实施计划</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□已基于战略规划开展业务模式和管理决策方式的变革实践</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135"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管理</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机制</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（35%）</w:t>
            </w: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19</w:t>
            </w:r>
          </w:p>
        </w:tc>
        <w:tc>
          <w:tcPr>
            <w:tcW w:w="5012"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企业在设置数字化组织与管理制度等方面采取的措施</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□设置专门的数字化人员岗位或部门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□为数字化人才设立专门的绩效薪酬体系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□对数字化收支单独建账核算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□建立数字化信息系统管理相关制度规范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□以上均无 </w:t>
            </w:r>
          </w:p>
        </w:tc>
        <w:tc>
          <w:tcPr>
            <w:tcW w:w="459"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135"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人才</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建设（25%）</w:t>
            </w: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20</w:t>
            </w:r>
          </w:p>
        </w:tc>
        <w:tc>
          <w:tcPr>
            <w:tcW w:w="5012"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企业在数字化方面培训覆盖的人员范围</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□信息化部门员工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□业务部门员工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□企业主要决策人员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□其他员工</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□以上均无</w:t>
            </w:r>
          </w:p>
        </w:tc>
        <w:tc>
          <w:tcPr>
            <w:tcW w:w="459"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continue"/>
            <w:noWrap w:val="0"/>
            <w:vAlign w:val="center"/>
          </w:tcPr>
          <w:p>
            <w:pPr>
              <w:snapToGrid w:val="0"/>
              <w:spacing w:line="240" w:lineRule="atLeast"/>
              <w:contextualSpacing/>
              <w:jc w:val="center"/>
              <w:rPr>
                <w:rFonts w:ascii="仿宋_GB2312" w:hAnsi="仿宋_GB2312" w:eastAsia="仿宋_GB2312" w:cs="仿宋_GB2312"/>
                <w:sz w:val="24"/>
              </w:rPr>
            </w:pPr>
          </w:p>
        </w:tc>
        <w:tc>
          <w:tcPr>
            <w:tcW w:w="1135" w:type="dxa"/>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资金</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投入（25%）</w:t>
            </w: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21</w:t>
            </w:r>
          </w:p>
        </w:tc>
        <w:tc>
          <w:tcPr>
            <w:tcW w:w="5012"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企业上年度数字化投入占营业收入的比重</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□小于1%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□[1%,2%)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□[2%,3%)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□[3%,5%]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□大于5%</w:t>
            </w:r>
          </w:p>
        </w:tc>
        <w:tc>
          <w:tcPr>
            <w:tcW w:w="459" w:type="dxa"/>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restart"/>
            <w:tcBorders>
              <w:top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hint="eastAsia" w:ascii="仿宋_GB2312" w:hAnsi="仿宋_GB2312" w:eastAsia="仿宋_GB2312" w:cs="仿宋_GB2312"/>
                <w:sz w:val="24"/>
              </w:rPr>
              <w:t>四、</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数字化成效</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（10%）</w:t>
            </w:r>
          </w:p>
        </w:tc>
        <w:tc>
          <w:tcPr>
            <w:tcW w:w="1135" w:type="dxa"/>
            <w:tcBorders>
              <w:top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产品</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质量</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（30%）</w:t>
            </w: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22</w:t>
            </w:r>
          </w:p>
        </w:tc>
        <w:tc>
          <w:tcPr>
            <w:tcW w:w="5012" w:type="dxa"/>
            <w:tcBorders>
              <w:top w:val="single" w:color="auto" w:sz="4" w:space="0"/>
            </w:tcBorders>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企业上年度产品合格率</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□明显低于行业平均水平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□略低于行业平均水平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□与行业平均水平相当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□略高于行业平均水平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□明显高于行业平均水平</w:t>
            </w:r>
          </w:p>
          <w:p>
            <w:pPr>
              <w:snapToGrid w:val="0"/>
              <w:spacing w:line="240" w:lineRule="atLeast"/>
              <w:contextualSpacing/>
              <w:rPr>
                <w:rFonts w:ascii="仿宋_GB2312" w:hAnsi="仿宋_GB2312" w:eastAsia="仿宋_GB2312" w:cs="仿宋_GB2312"/>
                <w:sz w:val="24"/>
              </w:rPr>
            </w:pP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具体数值为[      ]</w:t>
            </w:r>
          </w:p>
        </w:tc>
        <w:tc>
          <w:tcPr>
            <w:tcW w:w="459" w:type="dxa"/>
            <w:tcBorders>
              <w:top w:val="single" w:color="auto" w:sz="4" w:space="0"/>
            </w:tcBorders>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continue"/>
            <w:tcBorders>
              <w:top w:val="single" w:color="auto" w:sz="4" w:space="0"/>
              <w:bottom w:val="single" w:color="auto" w:sz="4" w:space="0"/>
            </w:tcBorders>
            <w:noWrap w:val="0"/>
            <w:vAlign w:val="center"/>
          </w:tcPr>
          <w:p>
            <w:pPr>
              <w:snapToGrid w:val="0"/>
              <w:spacing w:line="240" w:lineRule="atLeast"/>
              <w:contextualSpacing/>
              <w:rPr>
                <w:rFonts w:ascii="仿宋_GB2312" w:hAnsi="仿宋_GB2312" w:eastAsia="仿宋_GB2312" w:cs="仿宋_GB2312"/>
                <w:sz w:val="24"/>
              </w:rPr>
            </w:pPr>
          </w:p>
        </w:tc>
        <w:tc>
          <w:tcPr>
            <w:tcW w:w="1135" w:type="dxa"/>
            <w:tcBorders>
              <w:top w:val="single" w:color="auto" w:sz="4" w:space="0"/>
              <w:bottom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生产</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效率</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（40%）</w:t>
            </w: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23</w:t>
            </w:r>
          </w:p>
        </w:tc>
        <w:tc>
          <w:tcPr>
            <w:tcW w:w="5012" w:type="dxa"/>
            <w:tcBorders>
              <w:top w:val="single" w:color="auto" w:sz="4" w:space="0"/>
              <w:bottom w:val="single" w:color="auto" w:sz="4" w:space="0"/>
            </w:tcBorders>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企业上年度人均营业收入</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□明显低于行业平均水平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□略低于行业平均水平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□与行业平均水平相当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□略高于行业平均水平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□明显高于行业平均水平</w:t>
            </w:r>
          </w:p>
          <w:p>
            <w:pPr>
              <w:snapToGrid w:val="0"/>
              <w:spacing w:line="240" w:lineRule="atLeast"/>
              <w:contextualSpacing/>
              <w:rPr>
                <w:rFonts w:ascii="仿宋_GB2312" w:hAnsi="仿宋_GB2312" w:eastAsia="仿宋_GB2312" w:cs="仿宋_GB2312"/>
                <w:sz w:val="24"/>
              </w:rPr>
            </w:pP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具体数值为[      ]</w:t>
            </w:r>
          </w:p>
        </w:tc>
        <w:tc>
          <w:tcPr>
            <w:tcW w:w="459" w:type="dxa"/>
            <w:tcBorders>
              <w:top w:val="single" w:color="auto" w:sz="4" w:space="0"/>
              <w:bottom w:val="single" w:color="auto" w:sz="4" w:space="0"/>
            </w:tcBorders>
            <w:noWrap w:val="0"/>
            <w:vAlign w:val="center"/>
          </w:tcPr>
          <w:p>
            <w:pPr>
              <w:snapToGrid w:val="0"/>
              <w:spacing w:line="240" w:lineRule="atLeast"/>
              <w:contextualSpacing/>
              <w:rPr>
                <w:rFonts w:ascii="仿宋_GB2312" w:hAnsi="仿宋_GB2312" w:eastAsia="仿宋_GB2312" w:cs="仿宋_GB2312"/>
                <w:sz w:val="24"/>
              </w:rPr>
            </w:pPr>
            <w:r>
              <w:rPr>
                <w:rFonts w:hint="eastAsia" w:ascii="仿宋_GB2312" w:hAnsi="仿宋_GB2312" w:eastAsia="仿宋_GB2312" w:cs="仿宋_GB2312"/>
                <w:sz w:val="24"/>
              </w:rPr>
              <w:t>单</w:t>
            </w:r>
            <w:r>
              <w:rPr>
                <w:rFonts w:ascii="仿宋_GB2312" w:hAnsi="仿宋_GB2312" w:eastAsia="仿宋_GB2312" w:cs="仿宋_GB2312"/>
                <w:sz w:val="24"/>
              </w:rPr>
              <w:t>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5" w:type="dxa"/>
            <w:vMerge w:val="continue"/>
            <w:tcBorders>
              <w:top w:val="single" w:color="auto" w:sz="4" w:space="0"/>
              <w:bottom w:val="single" w:color="auto" w:sz="4" w:space="0"/>
            </w:tcBorders>
            <w:noWrap w:val="0"/>
            <w:vAlign w:val="center"/>
          </w:tcPr>
          <w:p>
            <w:pPr>
              <w:snapToGrid w:val="0"/>
              <w:spacing w:line="240" w:lineRule="atLeast"/>
              <w:contextualSpacing/>
              <w:rPr>
                <w:rFonts w:ascii="仿宋_GB2312" w:hAnsi="仿宋_GB2312" w:eastAsia="仿宋_GB2312" w:cs="仿宋_GB2312"/>
                <w:sz w:val="24"/>
              </w:rPr>
            </w:pPr>
          </w:p>
        </w:tc>
        <w:tc>
          <w:tcPr>
            <w:tcW w:w="1135" w:type="dxa"/>
            <w:tcBorders>
              <w:top w:val="single" w:color="auto" w:sz="4" w:space="0"/>
              <w:bottom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价值</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效益</w:t>
            </w:r>
          </w:p>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（30%）</w:t>
            </w:r>
          </w:p>
        </w:tc>
        <w:tc>
          <w:tcPr>
            <w:tcW w:w="1309" w:type="dxa"/>
            <w:tcBorders>
              <w:top w:val="nil"/>
              <w:left w:val="single" w:color="auto" w:sz="4" w:space="0"/>
              <w:bottom w:val="single" w:color="auto" w:sz="4" w:space="0"/>
              <w:right w:val="single" w:color="auto" w:sz="4" w:space="0"/>
            </w:tcBorders>
            <w:noWrap w:val="0"/>
            <w:vAlign w:val="center"/>
          </w:tcPr>
          <w:p>
            <w:pPr>
              <w:snapToGrid w:val="0"/>
              <w:spacing w:line="240" w:lineRule="atLeast"/>
              <w:contextualSpacing/>
              <w:jc w:val="center"/>
              <w:rPr>
                <w:rFonts w:ascii="仿宋_GB2312" w:hAnsi="仿宋_GB2312" w:eastAsia="仿宋_GB2312" w:cs="仿宋_GB2312"/>
                <w:sz w:val="24"/>
              </w:rPr>
            </w:pPr>
            <w:r>
              <w:rPr>
                <w:rFonts w:ascii="仿宋_GB2312" w:hAnsi="仿宋_GB2312" w:eastAsia="仿宋_GB2312" w:cs="仿宋_GB2312"/>
                <w:sz w:val="24"/>
              </w:rPr>
              <w:t>24</w:t>
            </w:r>
          </w:p>
        </w:tc>
        <w:tc>
          <w:tcPr>
            <w:tcW w:w="5012" w:type="dxa"/>
            <w:tcBorders>
              <w:top w:val="single" w:color="auto" w:sz="4" w:space="0"/>
              <w:bottom w:val="single" w:color="auto" w:sz="4" w:space="0"/>
            </w:tcBorders>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企业上年度每百元营业收入中的成本</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□明显低于行业平均水平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□略低于行业平均水平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□与行业平均水平相当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 xml:space="preserve">□略高于行业平均水平 </w:t>
            </w: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□明显高于行业平均水平</w:t>
            </w:r>
          </w:p>
          <w:p>
            <w:pPr>
              <w:snapToGrid w:val="0"/>
              <w:spacing w:line="240" w:lineRule="atLeast"/>
              <w:contextualSpacing/>
              <w:rPr>
                <w:rFonts w:ascii="仿宋_GB2312" w:hAnsi="仿宋_GB2312" w:eastAsia="仿宋_GB2312" w:cs="仿宋_GB2312"/>
                <w:sz w:val="24"/>
              </w:rPr>
            </w:pPr>
          </w:p>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具体数值为[      ]</w:t>
            </w:r>
          </w:p>
        </w:tc>
        <w:tc>
          <w:tcPr>
            <w:tcW w:w="459" w:type="dxa"/>
            <w:tcBorders>
              <w:top w:val="single" w:color="auto" w:sz="4" w:space="0"/>
              <w:bottom w:val="single" w:color="auto" w:sz="4" w:space="0"/>
            </w:tcBorders>
            <w:noWrap w:val="0"/>
            <w:vAlign w:val="center"/>
          </w:tcPr>
          <w:p>
            <w:pPr>
              <w:snapToGrid w:val="0"/>
              <w:spacing w:line="240" w:lineRule="atLeast"/>
              <w:contextualSpacing/>
              <w:rPr>
                <w:rFonts w:ascii="仿宋_GB2312" w:hAnsi="仿宋_GB2312" w:eastAsia="仿宋_GB2312" w:cs="仿宋_GB2312"/>
                <w:sz w:val="24"/>
              </w:rPr>
            </w:pPr>
            <w:r>
              <w:rPr>
                <w:rFonts w:ascii="仿宋_GB2312" w:hAnsi="仿宋_GB2312" w:eastAsia="仿宋_GB2312" w:cs="仿宋_GB2312"/>
                <w:sz w:val="24"/>
              </w:rPr>
              <w:t>单选</w:t>
            </w:r>
          </w:p>
        </w:tc>
      </w:tr>
    </w:tbl>
    <w:p>
      <w:pPr>
        <w:widowControl/>
        <w:spacing w:line="540" w:lineRule="exact"/>
        <w:jc w:val="left"/>
        <w:rPr>
          <w:rFonts w:ascii="Times New Roman" w:hAnsi="Times New Roman" w:eastAsia="仿宋_GB2312" w:cs="Times New Roman"/>
          <w:szCs w:val="32"/>
        </w:rPr>
      </w:pPr>
    </w:p>
    <w:p>
      <w:pPr>
        <w:widowControl/>
        <w:spacing w:line="560" w:lineRule="exact"/>
        <w:jc w:val="left"/>
        <w:rPr>
          <w:rFonts w:hint="eastAsia" w:ascii="仿宋_GB2312" w:hAnsi="仿宋_GB2312" w:eastAsia="仿宋_GB2312" w:cs="仿宋_GB2312"/>
          <w:sz w:val="32"/>
          <w:szCs w:val="32"/>
          <w:lang w:val="en-US" w:eastAsia="zh-CN"/>
        </w:rPr>
      </w:pPr>
    </w:p>
    <w:sectPr>
      <w:footerReference r:id="rId4"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5"/>
      </w:pPr>
      <w:r>
        <w:rPr>
          <w:rStyle w:val="12"/>
        </w:rPr>
        <w:footnoteRef/>
      </w:r>
      <w:r>
        <w:t xml:space="preserve"> </w:t>
      </w:r>
      <w:r>
        <w:rPr>
          <w:rFonts w:hint="eastAsia"/>
        </w:rPr>
        <w:t>具体问卷题目的详细解释见优质中小企业梯度培育平台中小企业数字化水平自测模块。</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5"/>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NmMjAxOWVmOGMzZDg3OGI1Y2E4Y2U4OTg1NTBhZTgifQ=="/>
  </w:docVars>
  <w:rsids>
    <w:rsidRoot w:val="00757280"/>
    <w:rsid w:val="00601CD4"/>
    <w:rsid w:val="00757280"/>
    <w:rsid w:val="09FF8449"/>
    <w:rsid w:val="1B3BB163"/>
    <w:rsid w:val="1DF76C32"/>
    <w:rsid w:val="2E5F91A2"/>
    <w:rsid w:val="376555B7"/>
    <w:rsid w:val="37E70C08"/>
    <w:rsid w:val="3BAF2723"/>
    <w:rsid w:val="3DB7CAA5"/>
    <w:rsid w:val="3F373A64"/>
    <w:rsid w:val="3F7A2261"/>
    <w:rsid w:val="4BEA2F48"/>
    <w:rsid w:val="566FC132"/>
    <w:rsid w:val="5F4F0A1C"/>
    <w:rsid w:val="5F7FA4C0"/>
    <w:rsid w:val="5FD61217"/>
    <w:rsid w:val="66F6515E"/>
    <w:rsid w:val="6AAFF47E"/>
    <w:rsid w:val="6D91B252"/>
    <w:rsid w:val="6EDFC7B6"/>
    <w:rsid w:val="6FE3B99B"/>
    <w:rsid w:val="6FEF559C"/>
    <w:rsid w:val="73DEFC5C"/>
    <w:rsid w:val="73EF82ED"/>
    <w:rsid w:val="74BC620E"/>
    <w:rsid w:val="76BBDA96"/>
    <w:rsid w:val="76EC9134"/>
    <w:rsid w:val="77F51F73"/>
    <w:rsid w:val="77FFB0CE"/>
    <w:rsid w:val="795DD02D"/>
    <w:rsid w:val="7BD8EF98"/>
    <w:rsid w:val="7BFF8819"/>
    <w:rsid w:val="7C7164F0"/>
    <w:rsid w:val="7DDF62E1"/>
    <w:rsid w:val="7EFAA4CC"/>
    <w:rsid w:val="7F3F7491"/>
    <w:rsid w:val="7FBF77B1"/>
    <w:rsid w:val="7FECC915"/>
    <w:rsid w:val="7FF7C5EE"/>
    <w:rsid w:val="9A79ABF7"/>
    <w:rsid w:val="BBFE8015"/>
    <w:rsid w:val="BC7BB06F"/>
    <w:rsid w:val="CA6157D1"/>
    <w:rsid w:val="D4FE123A"/>
    <w:rsid w:val="D7370D45"/>
    <w:rsid w:val="D9EB8C63"/>
    <w:rsid w:val="DFFE207A"/>
    <w:rsid w:val="EB5DD117"/>
    <w:rsid w:val="EBFF38F1"/>
    <w:rsid w:val="ED9740ED"/>
    <w:rsid w:val="EFD1F38E"/>
    <w:rsid w:val="F7EBC841"/>
    <w:rsid w:val="F7FB889C"/>
    <w:rsid w:val="F874BDA6"/>
    <w:rsid w:val="FB6A01CF"/>
    <w:rsid w:val="FBFC37F5"/>
    <w:rsid w:val="FBFF50FD"/>
    <w:rsid w:val="FD37F331"/>
    <w:rsid w:val="FD77F7A3"/>
    <w:rsid w:val="FDB45B81"/>
    <w:rsid w:val="FF4D56AE"/>
    <w:rsid w:val="FF5CEE33"/>
    <w:rsid w:val="FF6C2736"/>
    <w:rsid w:val="FF7DD238"/>
    <w:rsid w:val="FFEEB2A5"/>
    <w:rsid w:val="FFFBBC33"/>
    <w:rsid w:val="FFFE8ABF"/>
    <w:rsid w:val="FFFF72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footer"/>
    <w:basedOn w:val="1"/>
    <w:link w:val="13"/>
    <w:qFormat/>
    <w:uiPriority w:val="0"/>
    <w:pPr>
      <w:tabs>
        <w:tab w:val="center" w:pos="4153"/>
        <w:tab w:val="right" w:pos="8306"/>
      </w:tabs>
      <w:snapToGrid w:val="0"/>
      <w:jc w:val="left"/>
    </w:pPr>
    <w:rPr>
      <w:sz w:val="18"/>
      <w:szCs w:val="18"/>
    </w:rPr>
  </w:style>
  <w:style w:type="paragraph" w:styleId="4">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5">
    <w:name w:val="footnote text"/>
    <w:basedOn w:val="1"/>
    <w:unhideWhenUsed/>
    <w:qFormat/>
    <w:uiPriority w:val="99"/>
    <w:pPr>
      <w:snapToGrid w:val="0"/>
      <w:jc w:val="left"/>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7">
    <w:name w:val="Title"/>
    <w:basedOn w:val="1"/>
    <w:next w:val="1"/>
    <w:qFormat/>
    <w:uiPriority w:val="0"/>
    <w:pPr>
      <w:spacing w:line="560" w:lineRule="exact"/>
      <w:jc w:val="center"/>
      <w:outlineLvl w:val="0"/>
    </w:pPr>
    <w:rPr>
      <w:rFonts w:ascii="方正小标宋简体" w:hAnsi="方正小标宋简体" w:eastAsia="方正小标宋简体" w:cs="方正小标宋简体"/>
      <w:b/>
      <w:bCs/>
      <w:sz w:val="36"/>
      <w:szCs w:val="32"/>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unhideWhenUsed/>
    <w:qFormat/>
    <w:uiPriority w:val="99"/>
  </w:style>
  <w:style w:type="character" w:styleId="12">
    <w:name w:val="footnote reference"/>
    <w:basedOn w:val="10"/>
    <w:unhideWhenUsed/>
    <w:qFormat/>
    <w:uiPriority w:val="99"/>
    <w:rPr>
      <w:vertAlign w:val="superscript"/>
    </w:rPr>
  </w:style>
  <w:style w:type="character" w:customStyle="1" w:styleId="13">
    <w:name w:val="页脚 Char"/>
    <w:link w:val="3"/>
    <w:qFormat/>
    <w:uiPriority w:val="0"/>
    <w:rPr>
      <w:rFonts w:ascii="Calibri" w:hAnsi="Calibri"/>
      <w:kern w:val="2"/>
      <w:sz w:val="18"/>
      <w:szCs w:val="18"/>
    </w:rPr>
  </w:style>
  <w:style w:type="character" w:customStyle="1" w:styleId="14">
    <w:name w:val="页眉 Char"/>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428</Words>
  <Characters>2445</Characters>
  <Lines>20</Lines>
  <Paragraphs>5</Paragraphs>
  <TotalTime>1</TotalTime>
  <ScaleCrop>false</ScaleCrop>
  <LinksUpToDate>false</LinksUpToDate>
  <CharactersWithSpaces>2868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2023-07-27T23:05:00Z</dcterms:created>
  <dc:creator>uos</dc:creator>
  <cp:lastModifiedBy>发文</cp:lastModifiedBy>
  <dcterms:modified xsi:type="dcterms:W3CDTF">2023-08-07T09:10:32Z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6F98C3B7B7ACD9BACFBECC64EB1FD3EB</vt:lpwstr>
  </property>
</Properties>
</file>