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b/>
          <w:bCs/>
          <w:sz w:val="48"/>
          <w:szCs w:val="56"/>
        </w:rPr>
      </w:pPr>
    </w:p>
    <w:p>
      <w:pPr>
        <w:spacing w:line="480" w:lineRule="auto"/>
        <w:jc w:val="center"/>
        <w:rPr>
          <w:b/>
          <w:bCs/>
          <w:sz w:val="48"/>
          <w:szCs w:val="56"/>
        </w:rPr>
      </w:pPr>
    </w:p>
    <w:p>
      <w:pPr>
        <w:pStyle w:val="2"/>
      </w:pPr>
    </w:p>
    <w:p>
      <w:pPr>
        <w:spacing w:line="480" w:lineRule="auto"/>
        <w:jc w:val="center"/>
        <w:rPr>
          <w:b/>
          <w:bCs/>
          <w:sz w:val="48"/>
          <w:szCs w:val="56"/>
        </w:rPr>
      </w:pPr>
      <w:r>
        <w:rPr>
          <w:rFonts w:hint="eastAsia"/>
          <w:b/>
          <w:bCs/>
          <w:sz w:val="48"/>
          <w:szCs w:val="56"/>
        </w:rPr>
        <w:t>江门产业转移工业园台山园区</w:t>
      </w:r>
    </w:p>
    <w:p>
      <w:pPr>
        <w:spacing w:before="156" w:beforeLines="50" w:line="480" w:lineRule="auto"/>
        <w:jc w:val="center"/>
        <w:rPr>
          <w:b/>
          <w:bCs/>
          <w:sz w:val="48"/>
          <w:szCs w:val="56"/>
        </w:rPr>
      </w:pPr>
      <w:r>
        <w:rPr>
          <w:rFonts w:hint="eastAsia"/>
          <w:b/>
          <w:bCs/>
          <w:sz w:val="48"/>
          <w:szCs w:val="56"/>
        </w:rPr>
        <w:t>202</w:t>
      </w:r>
      <w:r>
        <w:rPr>
          <w:rFonts w:hint="eastAsia"/>
          <w:b/>
          <w:bCs/>
          <w:sz w:val="48"/>
          <w:szCs w:val="56"/>
          <w:lang w:val="en-US" w:eastAsia="zh-CN"/>
        </w:rPr>
        <w:t>2</w:t>
      </w:r>
      <w:r>
        <w:rPr>
          <w:rFonts w:hint="eastAsia"/>
          <w:b/>
          <w:bCs/>
          <w:sz w:val="48"/>
          <w:szCs w:val="56"/>
        </w:rPr>
        <w:t>年度环境状况与管理情况评估报告</w:t>
      </w:r>
    </w:p>
    <w:p>
      <w:pPr>
        <w:pStyle w:val="2"/>
      </w:pPr>
    </w:p>
    <w:p/>
    <w:p/>
    <w:p/>
    <w:p/>
    <w:p/>
    <w:p/>
    <w:p/>
    <w:p>
      <w:pPr>
        <w:rPr>
          <w:rFonts w:hint="eastAsia"/>
        </w:rPr>
      </w:pPr>
    </w:p>
    <w:p/>
    <w:p/>
    <w:p/>
    <w:p/>
    <w:p/>
    <w:p/>
    <w:p/>
    <w:p>
      <w:pPr>
        <w:rPr>
          <w:rFonts w:hint="eastAsia"/>
        </w:rPr>
      </w:pPr>
    </w:p>
    <w:p>
      <w:pPr>
        <w:spacing w:before="156" w:beforeLines="50" w:line="480" w:lineRule="auto"/>
        <w:jc w:val="center"/>
        <w:rPr>
          <w:rFonts w:hint="eastAsia"/>
          <w:b/>
          <w:bCs/>
          <w:sz w:val="36"/>
          <w:szCs w:val="44"/>
          <w:lang w:val="en-US" w:eastAsia="zh-CN"/>
        </w:rPr>
      </w:pPr>
    </w:p>
    <w:p>
      <w:pPr>
        <w:spacing w:before="156" w:beforeLines="50" w:line="480" w:lineRule="auto"/>
        <w:jc w:val="center"/>
        <w:rPr>
          <w:b/>
          <w:bCs/>
          <w:sz w:val="36"/>
          <w:szCs w:val="44"/>
        </w:rPr>
      </w:pPr>
      <w:r>
        <w:rPr>
          <w:rFonts w:hint="eastAsia"/>
          <w:b/>
          <w:bCs/>
          <w:sz w:val="36"/>
          <w:szCs w:val="44"/>
          <w:lang w:val="en-US" w:eastAsia="zh-CN"/>
        </w:rPr>
        <w:t>编制</w:t>
      </w:r>
      <w:r>
        <w:rPr>
          <w:b/>
          <w:bCs/>
          <w:sz w:val="36"/>
          <w:szCs w:val="44"/>
        </w:rPr>
        <w:t>单位</w:t>
      </w:r>
      <w:r>
        <w:rPr>
          <w:rFonts w:hint="eastAsia"/>
          <w:b/>
          <w:bCs/>
          <w:sz w:val="36"/>
          <w:szCs w:val="44"/>
        </w:rPr>
        <w:t>：台山产业转移工业园管理委员会</w:t>
      </w:r>
    </w:p>
    <w:p>
      <w:pPr>
        <w:spacing w:line="480" w:lineRule="auto"/>
        <w:jc w:val="center"/>
        <w:rPr>
          <w:b/>
          <w:bCs/>
          <w:sz w:val="36"/>
          <w:szCs w:val="44"/>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b/>
          <w:bCs/>
          <w:sz w:val="36"/>
          <w:szCs w:val="44"/>
        </w:rPr>
        <w:t>编制时间：202</w:t>
      </w:r>
      <w:r>
        <w:rPr>
          <w:rFonts w:hint="default" w:ascii="Times New Roman" w:hAnsi="Times New Roman" w:cs="Times New Roman"/>
          <w:b/>
          <w:bCs/>
          <w:sz w:val="36"/>
          <w:szCs w:val="44"/>
          <w:lang w:val="en-US" w:eastAsia="zh-CN"/>
        </w:rPr>
        <w:t>3</w:t>
      </w:r>
      <w:r>
        <w:rPr>
          <w:rFonts w:hint="default" w:ascii="Times New Roman" w:hAnsi="Times New Roman" w:cs="Times New Roman"/>
          <w:b/>
          <w:bCs/>
          <w:sz w:val="36"/>
          <w:szCs w:val="44"/>
        </w:rPr>
        <w:t>年</w:t>
      </w:r>
      <w:r>
        <w:rPr>
          <w:rFonts w:hint="default" w:ascii="Times New Roman" w:hAnsi="Times New Roman" w:cs="Times New Roman"/>
          <w:b/>
          <w:bCs/>
          <w:sz w:val="36"/>
          <w:szCs w:val="44"/>
          <w:lang w:val="en-US" w:eastAsia="zh-CN"/>
        </w:rPr>
        <w:t>5</w:t>
      </w:r>
      <w:r>
        <w:rPr>
          <w:rFonts w:hint="default" w:ascii="Times New Roman" w:hAnsi="Times New Roman" w:cs="Times New Roman"/>
          <w:b/>
          <w:bCs/>
          <w:sz w:val="36"/>
          <w:szCs w:val="44"/>
        </w:rPr>
        <w:t>月</w:t>
      </w:r>
      <w:r>
        <w:rPr>
          <w:rFonts w:hint="default" w:ascii="Times New Roman" w:hAnsi="Times New Roman" w:cs="Times New Roman"/>
          <w:b/>
          <w:bCs/>
          <w:sz w:val="36"/>
          <w:szCs w:val="44"/>
          <w:lang w:val="en-US" w:eastAsia="zh-CN"/>
        </w:rPr>
        <w:t>17</w:t>
      </w:r>
      <w:r>
        <w:rPr>
          <w:rFonts w:hint="default" w:ascii="Times New Roman" w:hAnsi="Times New Roman" w:cs="Times New Roman"/>
          <w:b/>
          <w:bCs/>
          <w:sz w:val="36"/>
          <w:szCs w:val="44"/>
        </w:rPr>
        <w:t>日</w:t>
      </w:r>
    </w:p>
    <w:p>
      <w:pPr>
        <w:jc w:val="center"/>
        <w:rPr>
          <w:b/>
          <w:sz w:val="28"/>
          <w:szCs w:val="28"/>
        </w:rPr>
      </w:pPr>
      <w:r>
        <w:rPr>
          <w:rFonts w:ascii="宋体" w:hAnsi="宋体"/>
          <w:b/>
          <w:sz w:val="28"/>
          <w:szCs w:val="28"/>
        </w:rPr>
        <w:t>目录</w:t>
      </w:r>
    </w:p>
    <w:p>
      <w:pPr>
        <w:pStyle w:val="31"/>
        <w:tabs>
          <w:tab w:val="right" w:leader="dot" w:pos="8306"/>
        </w:tabs>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"1-2"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_Toc15380 </w:instrText>
      </w:r>
      <w:r>
        <w:rPr>
          <w:rFonts w:hint="default" w:ascii="Times New Roman" w:hAnsi="Times New Roman" w:eastAsia="宋体" w:cs="Times New Roman"/>
          <w:szCs w:val="24"/>
        </w:rPr>
        <w:fldChar w:fldCharType="separate"/>
      </w:r>
      <w:r>
        <w:rPr>
          <w:rFonts w:hint="eastAsia"/>
        </w:rPr>
        <w:t>一</w:t>
      </w:r>
      <w:r>
        <w:rPr>
          <w:rFonts w:hint="eastAsia"/>
          <w:lang w:eastAsia="zh-CN"/>
        </w:rPr>
        <w:t>、</w:t>
      </w:r>
      <w:r>
        <w:rPr>
          <w:rFonts w:hint="eastAsia"/>
          <w:lang w:val="en-US" w:eastAsia="zh-CN"/>
        </w:rPr>
        <w:t>前言</w:t>
      </w:r>
      <w:r>
        <w:tab/>
      </w:r>
      <w:r>
        <w:fldChar w:fldCharType="begin"/>
      </w:r>
      <w:r>
        <w:instrText xml:space="preserve"> PAGEREF _Toc15380 \h </w:instrText>
      </w:r>
      <w:r>
        <w:fldChar w:fldCharType="separate"/>
      </w:r>
      <w:r>
        <w:t>1</w:t>
      </w:r>
      <w:r>
        <w:fldChar w:fldCharType="end"/>
      </w:r>
      <w:r>
        <w:rPr>
          <w:rFonts w:hint="default" w:ascii="Times New Roman" w:hAnsi="Times New Roman" w:eastAsia="宋体" w:cs="Times New Roman"/>
          <w:szCs w:val="24"/>
        </w:rPr>
        <w:fldChar w:fldCharType="end"/>
      </w:r>
    </w:p>
    <w:p>
      <w:pPr>
        <w:pStyle w:val="31"/>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_Toc15379 </w:instrText>
      </w:r>
      <w:r>
        <w:rPr>
          <w:rFonts w:hint="default" w:ascii="Times New Roman" w:hAnsi="Times New Roman" w:eastAsia="宋体" w:cs="Times New Roman"/>
          <w:szCs w:val="24"/>
        </w:rPr>
        <w:fldChar w:fldCharType="separate"/>
      </w:r>
      <w:r>
        <w:rPr>
          <w:rFonts w:hint="eastAsia"/>
        </w:rPr>
        <w:t>二</w:t>
      </w:r>
      <w:r>
        <w:rPr>
          <w:rFonts w:hint="eastAsia"/>
          <w:lang w:eastAsia="zh-CN"/>
        </w:rPr>
        <w:t>、</w:t>
      </w:r>
      <w:r>
        <w:rPr>
          <w:rFonts w:hint="eastAsia"/>
        </w:rPr>
        <w:t>园区</w:t>
      </w:r>
      <w:r>
        <w:t>概况</w:t>
      </w:r>
      <w:r>
        <w:tab/>
      </w:r>
      <w:r>
        <w:fldChar w:fldCharType="begin"/>
      </w:r>
      <w:r>
        <w:instrText xml:space="preserve"> PAGEREF _Toc15379 \h </w:instrText>
      </w:r>
      <w:r>
        <w:fldChar w:fldCharType="separate"/>
      </w:r>
      <w:r>
        <w:t>2</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_Toc26925 </w:instrText>
      </w:r>
      <w:r>
        <w:rPr>
          <w:rFonts w:hint="default" w:ascii="Times New Roman" w:hAnsi="Times New Roman" w:eastAsia="宋体" w:cs="Times New Roman"/>
          <w:szCs w:val="24"/>
        </w:rPr>
        <w:fldChar w:fldCharType="separate"/>
      </w:r>
      <w:r>
        <w:t>2</w:t>
      </w:r>
      <w:r>
        <w:rPr>
          <w:rFonts w:hint="eastAsia"/>
        </w:rPr>
        <w:t>.1 地理位置</w:t>
      </w:r>
      <w:r>
        <w:tab/>
      </w:r>
      <w:r>
        <w:fldChar w:fldCharType="begin"/>
      </w:r>
      <w:r>
        <w:instrText xml:space="preserve"> PAGEREF _Toc26925 \h </w:instrText>
      </w:r>
      <w:r>
        <w:fldChar w:fldCharType="separate"/>
      </w:r>
      <w:r>
        <w:t>2</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_Toc18317 </w:instrText>
      </w:r>
      <w:r>
        <w:rPr>
          <w:rFonts w:hint="default" w:ascii="Times New Roman" w:hAnsi="Times New Roman" w:eastAsia="宋体" w:cs="Times New Roman"/>
          <w:szCs w:val="24"/>
        </w:rPr>
        <w:fldChar w:fldCharType="separate"/>
      </w:r>
      <w:r>
        <w:t>2.</w:t>
      </w:r>
      <w:r>
        <w:rPr>
          <w:rFonts w:hint="eastAsia"/>
          <w:lang w:val="en-US" w:eastAsia="zh-CN"/>
        </w:rPr>
        <w:t>2</w:t>
      </w:r>
      <w:r>
        <w:t>产业布局</w:t>
      </w:r>
      <w:r>
        <w:tab/>
      </w:r>
      <w:r>
        <w:fldChar w:fldCharType="begin"/>
      </w:r>
      <w:r>
        <w:instrText xml:space="preserve"> PAGEREF _Toc18317 \h </w:instrText>
      </w:r>
      <w:r>
        <w:fldChar w:fldCharType="separate"/>
      </w:r>
      <w:r>
        <w:t>3</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_Toc29847 </w:instrText>
      </w:r>
      <w:r>
        <w:rPr>
          <w:rFonts w:hint="default" w:ascii="Times New Roman" w:hAnsi="Times New Roman" w:eastAsia="宋体" w:cs="Times New Roman"/>
          <w:szCs w:val="24"/>
        </w:rPr>
        <w:fldChar w:fldCharType="separate"/>
      </w:r>
      <w:r>
        <w:rPr>
          <w:rFonts w:hint="eastAsia"/>
        </w:rPr>
        <w:t>2</w:t>
      </w:r>
      <w:r>
        <w:t>.</w:t>
      </w:r>
      <w:r>
        <w:rPr>
          <w:rFonts w:hint="eastAsia"/>
          <w:lang w:val="en-US" w:eastAsia="zh-CN"/>
        </w:rPr>
        <w:t>3</w:t>
      </w:r>
      <w:r>
        <w:rPr>
          <w:rFonts w:hint="eastAsia"/>
        </w:rPr>
        <w:t>环境功能区划</w:t>
      </w:r>
      <w:r>
        <w:tab/>
      </w:r>
      <w:r>
        <w:fldChar w:fldCharType="begin"/>
      </w:r>
      <w:r>
        <w:instrText xml:space="preserve"> PAGEREF _Toc29847 \h </w:instrText>
      </w:r>
      <w:r>
        <w:fldChar w:fldCharType="separate"/>
      </w:r>
      <w:r>
        <w:t>3</w:t>
      </w:r>
      <w:r>
        <w:fldChar w:fldCharType="end"/>
      </w:r>
      <w:r>
        <w:rPr>
          <w:rFonts w:hint="default" w:ascii="Times New Roman" w:hAnsi="Times New Roman" w:eastAsia="宋体" w:cs="Times New Roman"/>
          <w:szCs w:val="24"/>
        </w:rPr>
        <w:fldChar w:fldCharType="end"/>
      </w:r>
    </w:p>
    <w:p>
      <w:pPr>
        <w:pStyle w:val="31"/>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_Toc26985 </w:instrText>
      </w:r>
      <w:r>
        <w:rPr>
          <w:rFonts w:hint="default" w:ascii="Times New Roman" w:hAnsi="Times New Roman" w:eastAsia="宋体" w:cs="Times New Roman"/>
          <w:szCs w:val="24"/>
        </w:rPr>
        <w:fldChar w:fldCharType="separate"/>
      </w:r>
      <w:r>
        <w:t>三</w:t>
      </w:r>
      <w:r>
        <w:rPr>
          <w:rFonts w:hint="eastAsia"/>
          <w:lang w:eastAsia="zh-CN"/>
        </w:rPr>
        <w:t>、</w:t>
      </w:r>
      <w:r>
        <w:t>园区</w:t>
      </w:r>
      <w:r>
        <w:rPr>
          <w:rFonts w:hint="eastAsia"/>
          <w:lang w:val="en-US" w:eastAsia="zh-CN"/>
        </w:rPr>
        <w:t>2022年</w:t>
      </w:r>
      <w:r>
        <w:t>开发现状</w:t>
      </w:r>
      <w:r>
        <w:tab/>
      </w:r>
      <w:r>
        <w:fldChar w:fldCharType="begin"/>
      </w:r>
      <w:r>
        <w:instrText xml:space="preserve"> PAGEREF _Toc26985 \h </w:instrText>
      </w:r>
      <w:r>
        <w:fldChar w:fldCharType="separate"/>
      </w:r>
      <w:r>
        <w:t>5</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_Toc22994 </w:instrText>
      </w:r>
      <w:r>
        <w:rPr>
          <w:rFonts w:hint="default" w:ascii="Times New Roman" w:hAnsi="Times New Roman" w:eastAsia="宋体" w:cs="Times New Roman"/>
          <w:szCs w:val="24"/>
        </w:rPr>
        <w:fldChar w:fldCharType="separate"/>
      </w:r>
      <w:r>
        <w:rPr>
          <w:rFonts w:hint="eastAsia"/>
        </w:rPr>
        <w:t>3</w:t>
      </w:r>
      <w:r>
        <w:t>.1产业发展现状</w:t>
      </w:r>
      <w:r>
        <w:tab/>
      </w:r>
      <w:r>
        <w:fldChar w:fldCharType="begin"/>
      </w:r>
      <w:r>
        <w:instrText xml:space="preserve"> PAGEREF _Toc22994 \h </w:instrText>
      </w:r>
      <w:r>
        <w:fldChar w:fldCharType="separate"/>
      </w:r>
      <w:r>
        <w:t>5</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_Toc5102 </w:instrText>
      </w:r>
      <w:r>
        <w:rPr>
          <w:rFonts w:hint="default" w:ascii="Times New Roman" w:hAnsi="Times New Roman" w:eastAsia="宋体" w:cs="Times New Roman"/>
          <w:szCs w:val="24"/>
        </w:rPr>
        <w:fldChar w:fldCharType="separate"/>
      </w:r>
      <w:r>
        <w:rPr>
          <w:rFonts w:hint="eastAsia"/>
        </w:rPr>
        <w:t>3</w:t>
      </w:r>
      <w:r>
        <w:t>.2</w:t>
      </w:r>
      <w:r>
        <w:rPr>
          <w:rFonts w:hint="eastAsia"/>
        </w:rPr>
        <w:t>土地</w:t>
      </w:r>
      <w:r>
        <w:t>开发现状</w:t>
      </w:r>
      <w:r>
        <w:tab/>
      </w:r>
      <w:r>
        <w:fldChar w:fldCharType="begin"/>
      </w:r>
      <w:r>
        <w:instrText xml:space="preserve"> PAGEREF _Toc5102 \h </w:instrText>
      </w:r>
      <w:r>
        <w:fldChar w:fldCharType="separate"/>
      </w:r>
      <w:r>
        <w:t>7</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_Toc7106 </w:instrText>
      </w:r>
      <w:r>
        <w:rPr>
          <w:rFonts w:hint="default" w:ascii="Times New Roman" w:hAnsi="Times New Roman" w:eastAsia="宋体" w:cs="Times New Roman"/>
          <w:szCs w:val="24"/>
        </w:rPr>
        <w:fldChar w:fldCharType="separate"/>
      </w:r>
      <w:r>
        <w:rPr>
          <w:rFonts w:hint="eastAsia"/>
        </w:rPr>
        <w:t>3.3能源</w:t>
      </w:r>
      <w:r>
        <w:t>消耗情况</w:t>
      </w:r>
      <w:r>
        <w:tab/>
      </w:r>
      <w:r>
        <w:fldChar w:fldCharType="begin"/>
      </w:r>
      <w:r>
        <w:instrText xml:space="preserve"> PAGEREF _Toc7106 \h </w:instrText>
      </w:r>
      <w:r>
        <w:fldChar w:fldCharType="separate"/>
      </w:r>
      <w:r>
        <w:t>7</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_Toc6465 </w:instrText>
      </w:r>
      <w:r>
        <w:rPr>
          <w:rFonts w:hint="default" w:ascii="Times New Roman" w:hAnsi="Times New Roman" w:eastAsia="宋体" w:cs="Times New Roman"/>
          <w:szCs w:val="24"/>
        </w:rPr>
        <w:fldChar w:fldCharType="separate"/>
      </w:r>
      <w:r>
        <w:rPr>
          <w:rFonts w:hint="eastAsia"/>
        </w:rPr>
        <w:t>3.4环保</w:t>
      </w:r>
      <w:r>
        <w:t>设施配套建设情况</w:t>
      </w:r>
      <w:r>
        <w:tab/>
      </w:r>
      <w:r>
        <w:fldChar w:fldCharType="begin"/>
      </w:r>
      <w:r>
        <w:instrText xml:space="preserve"> PAGEREF _Toc6465 \h </w:instrText>
      </w:r>
      <w:r>
        <w:fldChar w:fldCharType="separate"/>
      </w:r>
      <w:r>
        <w:t>8</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_Toc31619 </w:instrText>
      </w:r>
      <w:r>
        <w:rPr>
          <w:rFonts w:hint="default" w:ascii="Times New Roman" w:hAnsi="Times New Roman" w:eastAsia="宋体" w:cs="Times New Roman"/>
          <w:szCs w:val="24"/>
        </w:rPr>
        <w:fldChar w:fldCharType="separate"/>
      </w:r>
      <w:r>
        <w:rPr>
          <w:rFonts w:hint="eastAsia"/>
        </w:rPr>
        <w:t>3</w:t>
      </w:r>
      <w:r>
        <w:t>.5园区现有企业排污情况</w:t>
      </w:r>
      <w:r>
        <w:tab/>
      </w:r>
      <w:r>
        <w:fldChar w:fldCharType="begin"/>
      </w:r>
      <w:r>
        <w:instrText xml:space="preserve"> PAGEREF _Toc31619 \h </w:instrText>
      </w:r>
      <w:r>
        <w:fldChar w:fldCharType="separate"/>
      </w:r>
      <w:r>
        <w:t>8</w:t>
      </w:r>
      <w:r>
        <w:fldChar w:fldCharType="end"/>
      </w:r>
      <w:r>
        <w:rPr>
          <w:rFonts w:hint="default" w:ascii="Times New Roman" w:hAnsi="Times New Roman" w:eastAsia="宋体" w:cs="Times New Roman"/>
          <w:szCs w:val="24"/>
        </w:rPr>
        <w:fldChar w:fldCharType="end"/>
      </w:r>
    </w:p>
    <w:p>
      <w:pPr>
        <w:pStyle w:val="31"/>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_Toc14189 </w:instrText>
      </w:r>
      <w:r>
        <w:rPr>
          <w:rFonts w:hint="default" w:ascii="Times New Roman" w:hAnsi="Times New Roman" w:eastAsia="宋体" w:cs="Times New Roman"/>
          <w:szCs w:val="24"/>
        </w:rPr>
        <w:fldChar w:fldCharType="separate"/>
      </w:r>
      <w:r>
        <w:t>四</w:t>
      </w:r>
      <w:r>
        <w:rPr>
          <w:rFonts w:hint="eastAsia"/>
          <w:lang w:eastAsia="zh-CN"/>
        </w:rPr>
        <w:t>、</w:t>
      </w:r>
      <w:r>
        <w:t>园区</w:t>
      </w:r>
      <w:r>
        <w:rPr>
          <w:rFonts w:hint="eastAsia"/>
          <w:lang w:val="en-US" w:eastAsia="zh-CN"/>
        </w:rPr>
        <w:t>2022年</w:t>
      </w:r>
      <w:r>
        <w:t>环境质量现状分析</w:t>
      </w:r>
      <w:r>
        <w:tab/>
      </w:r>
      <w:r>
        <w:fldChar w:fldCharType="begin"/>
      </w:r>
      <w:r>
        <w:instrText xml:space="preserve"> PAGEREF _Toc14189 \h </w:instrText>
      </w:r>
      <w:r>
        <w:fldChar w:fldCharType="separate"/>
      </w:r>
      <w:r>
        <w:t>18</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_Toc17102 </w:instrText>
      </w:r>
      <w:r>
        <w:rPr>
          <w:rFonts w:hint="default" w:ascii="Times New Roman" w:hAnsi="Times New Roman" w:eastAsia="宋体" w:cs="Times New Roman"/>
          <w:szCs w:val="24"/>
        </w:rPr>
        <w:fldChar w:fldCharType="separate"/>
      </w:r>
      <w:r>
        <w:rPr>
          <w:rFonts w:hint="eastAsia"/>
        </w:rPr>
        <w:t>4</w:t>
      </w:r>
      <w:r>
        <w:t>.1大气环境质量现状</w:t>
      </w:r>
      <w:r>
        <w:tab/>
      </w:r>
      <w:r>
        <w:fldChar w:fldCharType="begin"/>
      </w:r>
      <w:r>
        <w:instrText xml:space="preserve"> PAGEREF _Toc17102 \h </w:instrText>
      </w:r>
      <w:r>
        <w:fldChar w:fldCharType="separate"/>
      </w:r>
      <w:r>
        <w:t>18</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_Toc28091 </w:instrText>
      </w:r>
      <w:r>
        <w:rPr>
          <w:rFonts w:hint="default" w:ascii="Times New Roman" w:hAnsi="Times New Roman" w:eastAsia="宋体" w:cs="Times New Roman"/>
          <w:szCs w:val="24"/>
        </w:rPr>
        <w:fldChar w:fldCharType="separate"/>
      </w:r>
      <w:r>
        <w:rPr>
          <w:rFonts w:hint="eastAsia"/>
        </w:rPr>
        <w:t>4</w:t>
      </w:r>
      <w:r>
        <w:t>.2</w:t>
      </w:r>
      <w:r>
        <w:rPr>
          <w:rFonts w:hint="eastAsia"/>
        </w:rPr>
        <w:t>地表水</w:t>
      </w:r>
      <w:r>
        <w:t>环境质量现状</w:t>
      </w:r>
      <w:r>
        <w:tab/>
      </w:r>
      <w:r>
        <w:fldChar w:fldCharType="begin"/>
      </w:r>
      <w:r>
        <w:instrText xml:space="preserve"> PAGEREF _Toc28091 \h </w:instrText>
      </w:r>
      <w:r>
        <w:fldChar w:fldCharType="separate"/>
      </w:r>
      <w:r>
        <w:t>18</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_Toc9844 </w:instrText>
      </w:r>
      <w:r>
        <w:rPr>
          <w:rFonts w:hint="default" w:ascii="Times New Roman" w:hAnsi="Times New Roman" w:eastAsia="宋体" w:cs="Times New Roman"/>
          <w:szCs w:val="24"/>
        </w:rPr>
        <w:fldChar w:fldCharType="separate"/>
      </w:r>
      <w:r>
        <w:rPr>
          <w:rFonts w:hint="eastAsia"/>
        </w:rPr>
        <w:t>4</w:t>
      </w:r>
      <w:r>
        <w:t>.3地下水环境质量现状</w:t>
      </w:r>
      <w:r>
        <w:tab/>
      </w:r>
      <w:r>
        <w:fldChar w:fldCharType="begin"/>
      </w:r>
      <w:r>
        <w:instrText xml:space="preserve"> PAGEREF _Toc9844 \h </w:instrText>
      </w:r>
      <w:r>
        <w:fldChar w:fldCharType="separate"/>
      </w:r>
      <w:r>
        <w:t>19</w:t>
      </w:r>
      <w:r>
        <w:fldChar w:fldCharType="end"/>
      </w:r>
      <w:r>
        <w:rPr>
          <w:rFonts w:hint="default" w:ascii="Times New Roman" w:hAnsi="Times New Roman" w:eastAsia="宋体" w:cs="Times New Roman"/>
          <w:szCs w:val="24"/>
        </w:rPr>
        <w:fldChar w:fldCharType="end"/>
      </w:r>
    </w:p>
    <w:p>
      <w:pPr>
        <w:pStyle w:val="31"/>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_Toc11708 </w:instrText>
      </w:r>
      <w:r>
        <w:rPr>
          <w:rFonts w:hint="default" w:ascii="Times New Roman" w:hAnsi="Times New Roman" w:eastAsia="宋体" w:cs="Times New Roman"/>
          <w:szCs w:val="24"/>
        </w:rPr>
        <w:fldChar w:fldCharType="separate"/>
      </w:r>
      <w:r>
        <w:rPr>
          <w:rFonts w:hint="eastAsia"/>
        </w:rPr>
        <w:t>五</w:t>
      </w:r>
      <w:r>
        <w:rPr>
          <w:rFonts w:hint="eastAsia"/>
          <w:lang w:eastAsia="zh-CN"/>
        </w:rPr>
        <w:t>、</w:t>
      </w:r>
      <w:r>
        <w:rPr>
          <w:rFonts w:hint="eastAsia"/>
        </w:rPr>
        <w:t>园区</w:t>
      </w:r>
      <w:r>
        <w:rPr>
          <w:rFonts w:hint="eastAsia"/>
          <w:lang w:val="en-US" w:eastAsia="zh-CN"/>
        </w:rPr>
        <w:t>2022年</w:t>
      </w:r>
      <w:r>
        <w:rPr>
          <w:rFonts w:hint="eastAsia"/>
        </w:rPr>
        <w:t>环境保护现状管理情况</w:t>
      </w:r>
      <w:r>
        <w:tab/>
      </w:r>
      <w:r>
        <w:fldChar w:fldCharType="begin"/>
      </w:r>
      <w:r>
        <w:instrText xml:space="preserve"> PAGEREF _Toc11708 \h </w:instrText>
      </w:r>
      <w:r>
        <w:fldChar w:fldCharType="separate"/>
      </w:r>
      <w:r>
        <w:t>20</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_Toc10681 </w:instrText>
      </w:r>
      <w:r>
        <w:rPr>
          <w:rFonts w:hint="default" w:ascii="Times New Roman" w:hAnsi="Times New Roman" w:eastAsia="宋体" w:cs="Times New Roman"/>
          <w:szCs w:val="24"/>
        </w:rPr>
        <w:fldChar w:fldCharType="separate"/>
      </w:r>
      <w:r>
        <w:rPr>
          <w:rFonts w:hint="eastAsia"/>
        </w:rPr>
        <w:t>5</w:t>
      </w:r>
      <w:r>
        <w:t>.1规划环评情况</w:t>
      </w:r>
      <w:r>
        <w:tab/>
      </w:r>
      <w:r>
        <w:fldChar w:fldCharType="begin"/>
      </w:r>
      <w:r>
        <w:instrText xml:space="preserve"> PAGEREF _Toc10681 \h </w:instrText>
      </w:r>
      <w:r>
        <w:fldChar w:fldCharType="separate"/>
      </w:r>
      <w:r>
        <w:t>20</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_Toc19892 </w:instrText>
      </w:r>
      <w:r>
        <w:rPr>
          <w:rFonts w:hint="default" w:ascii="Times New Roman" w:hAnsi="Times New Roman" w:eastAsia="宋体" w:cs="Times New Roman"/>
          <w:szCs w:val="24"/>
        </w:rPr>
        <w:fldChar w:fldCharType="separate"/>
      </w:r>
      <w:r>
        <w:rPr>
          <w:rFonts w:hint="eastAsia"/>
        </w:rPr>
        <w:t>5</w:t>
      </w:r>
      <w:r>
        <w:t>.2企业环保监督监管情况</w:t>
      </w:r>
      <w:r>
        <w:tab/>
      </w:r>
      <w:r>
        <w:fldChar w:fldCharType="begin"/>
      </w:r>
      <w:r>
        <w:instrText xml:space="preserve"> PAGEREF _Toc19892 \h </w:instrText>
      </w:r>
      <w:r>
        <w:fldChar w:fldCharType="separate"/>
      </w:r>
      <w:r>
        <w:t>21</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_Toc29085 </w:instrText>
      </w:r>
      <w:r>
        <w:rPr>
          <w:rFonts w:hint="default" w:ascii="Times New Roman" w:hAnsi="Times New Roman" w:eastAsia="宋体" w:cs="Times New Roman"/>
          <w:szCs w:val="24"/>
        </w:rPr>
        <w:fldChar w:fldCharType="separate"/>
      </w:r>
      <w:r>
        <w:rPr>
          <w:rFonts w:hint="eastAsia"/>
        </w:rPr>
        <w:t>5</w:t>
      </w:r>
      <w:r>
        <w:t>.3园区</w:t>
      </w:r>
      <w:r>
        <w:rPr>
          <w:rFonts w:hint="eastAsia"/>
        </w:rPr>
        <w:t>环境风险防控措施落实</w:t>
      </w:r>
      <w:r>
        <w:t>情况</w:t>
      </w:r>
      <w:r>
        <w:tab/>
      </w:r>
      <w:r>
        <w:fldChar w:fldCharType="begin"/>
      </w:r>
      <w:r>
        <w:instrText xml:space="preserve"> PAGEREF _Toc29085 \h </w:instrText>
      </w:r>
      <w:r>
        <w:fldChar w:fldCharType="separate"/>
      </w:r>
      <w:r>
        <w:t>22</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_Toc3909 </w:instrText>
      </w:r>
      <w:r>
        <w:rPr>
          <w:rFonts w:hint="default" w:ascii="Times New Roman" w:hAnsi="Times New Roman" w:eastAsia="宋体" w:cs="Times New Roman"/>
          <w:szCs w:val="24"/>
        </w:rPr>
        <w:fldChar w:fldCharType="separate"/>
      </w:r>
      <w:r>
        <w:rPr>
          <w:rFonts w:hint="eastAsia"/>
        </w:rPr>
        <w:t>5</w:t>
      </w:r>
      <w:r>
        <w:t>.4污水处理厂及其管网建设情况</w:t>
      </w:r>
      <w:r>
        <w:tab/>
      </w:r>
      <w:r>
        <w:fldChar w:fldCharType="begin"/>
      </w:r>
      <w:r>
        <w:instrText xml:space="preserve"> PAGEREF _Toc3909 \h </w:instrText>
      </w:r>
      <w:r>
        <w:fldChar w:fldCharType="separate"/>
      </w:r>
      <w:r>
        <w:t>22</w:t>
      </w:r>
      <w:r>
        <w:fldChar w:fldCharType="end"/>
      </w:r>
      <w:r>
        <w:rPr>
          <w:rFonts w:hint="default" w:ascii="Times New Roman" w:hAnsi="Times New Roman" w:eastAsia="宋体" w:cs="Times New Roman"/>
          <w:szCs w:val="24"/>
        </w:rPr>
        <w:fldChar w:fldCharType="end"/>
      </w:r>
    </w:p>
    <w:p>
      <w:pPr>
        <w:pStyle w:val="31"/>
        <w:tabs>
          <w:tab w:val="right" w:leader="dot" w:pos="8306"/>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_Toc12114 </w:instrText>
      </w:r>
      <w:r>
        <w:rPr>
          <w:rFonts w:hint="default" w:ascii="Times New Roman" w:hAnsi="Times New Roman" w:eastAsia="宋体" w:cs="Times New Roman"/>
          <w:szCs w:val="24"/>
        </w:rPr>
        <w:fldChar w:fldCharType="separate"/>
      </w:r>
      <w:r>
        <w:t>六</w:t>
      </w:r>
      <w:r>
        <w:rPr>
          <w:rFonts w:hint="eastAsia"/>
          <w:lang w:eastAsia="zh-CN"/>
        </w:rPr>
        <w:t>、</w:t>
      </w:r>
      <w:r>
        <w:t>结论及</w:t>
      </w:r>
      <w:r>
        <w:rPr>
          <w:rFonts w:hint="eastAsia"/>
          <w:lang w:val="en-US" w:eastAsia="zh-CN"/>
        </w:rPr>
        <w:t>计划</w:t>
      </w:r>
      <w:r>
        <w:tab/>
      </w:r>
      <w:r>
        <w:fldChar w:fldCharType="begin"/>
      </w:r>
      <w:r>
        <w:instrText xml:space="preserve"> PAGEREF _Toc12114 \h </w:instrText>
      </w:r>
      <w:r>
        <w:fldChar w:fldCharType="separate"/>
      </w:r>
      <w:r>
        <w:t>24</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_Toc25741 </w:instrText>
      </w:r>
      <w:r>
        <w:rPr>
          <w:rFonts w:hint="default" w:ascii="Times New Roman" w:hAnsi="Times New Roman" w:eastAsia="宋体" w:cs="Times New Roman"/>
          <w:szCs w:val="24"/>
        </w:rPr>
        <w:fldChar w:fldCharType="separate"/>
      </w:r>
      <w:r>
        <w:rPr>
          <w:rFonts w:hint="eastAsia"/>
        </w:rPr>
        <w:t>6</w:t>
      </w:r>
      <w:r>
        <w:t>.1结论</w:t>
      </w:r>
      <w:r>
        <w:tab/>
      </w:r>
      <w:r>
        <w:fldChar w:fldCharType="begin"/>
      </w:r>
      <w:r>
        <w:instrText xml:space="preserve"> PAGEREF _Toc25741 \h </w:instrText>
      </w:r>
      <w:r>
        <w:fldChar w:fldCharType="separate"/>
      </w:r>
      <w:r>
        <w:t>24</w:t>
      </w:r>
      <w:r>
        <w:fldChar w:fldCharType="end"/>
      </w:r>
      <w:r>
        <w:rPr>
          <w:rFonts w:hint="default" w:ascii="Times New Roman" w:hAnsi="Times New Roman" w:eastAsia="宋体" w:cs="Times New Roman"/>
          <w:szCs w:val="24"/>
        </w:rPr>
        <w:fldChar w:fldCharType="end"/>
      </w:r>
    </w:p>
    <w:p>
      <w:pPr>
        <w:pStyle w:val="12"/>
        <w:tabs>
          <w:tab w:val="right" w:leader="dot" w:pos="8306"/>
          <w:tab w:val="clear" w:pos="90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_Toc17259 </w:instrText>
      </w:r>
      <w:r>
        <w:rPr>
          <w:rFonts w:hint="default" w:ascii="Times New Roman" w:hAnsi="Times New Roman" w:eastAsia="宋体" w:cs="Times New Roman"/>
          <w:szCs w:val="24"/>
        </w:rPr>
        <w:fldChar w:fldCharType="separate"/>
      </w:r>
      <w:r>
        <w:rPr>
          <w:rFonts w:hint="eastAsia"/>
        </w:rPr>
        <w:t>6</w:t>
      </w:r>
      <w:r>
        <w:t>.2</w:t>
      </w:r>
      <w:r>
        <w:rPr>
          <w:rFonts w:hint="eastAsia"/>
          <w:lang w:val="en-US" w:eastAsia="zh-CN"/>
        </w:rPr>
        <w:t>计划</w:t>
      </w:r>
      <w:r>
        <w:tab/>
      </w:r>
      <w:r>
        <w:fldChar w:fldCharType="begin"/>
      </w:r>
      <w:r>
        <w:instrText xml:space="preserve"> PAGEREF _Toc17259 \h </w:instrText>
      </w:r>
      <w:r>
        <w:fldChar w:fldCharType="separate"/>
      </w:r>
      <w:r>
        <w:t>24</w:t>
      </w:r>
      <w:r>
        <w:fldChar w:fldCharType="end"/>
      </w:r>
      <w:r>
        <w:rPr>
          <w:rFonts w:hint="default" w:ascii="Times New Roman" w:hAnsi="Times New Roman" w:eastAsia="宋体" w:cs="Times New Roman"/>
          <w:szCs w:val="24"/>
        </w:rPr>
        <w:fldChar w:fldCharType="end"/>
      </w:r>
    </w:p>
    <w:p>
      <w:pPr>
        <w:keepNext w:val="0"/>
        <w:keepLines w:val="0"/>
        <w:pageBreakBefore w:val="0"/>
        <w:widowControl w:val="0"/>
        <w:kinsoku/>
        <w:wordWrap/>
        <w:overflowPunct/>
        <w:topLinePunct w:val="0"/>
        <w:autoSpaceDE/>
        <w:autoSpaceDN/>
        <w:bidi w:val="0"/>
        <w:snapToGrid/>
        <w:spacing w:line="360" w:lineRule="auto"/>
        <w:textAlignment w:val="auto"/>
        <w:rPr>
          <w:rFonts w:ascii="Times New Roman" w:hAnsi="Times New Roman"/>
          <w:sz w:val="24"/>
        </w:rPr>
        <w:sectPr>
          <w:footerReference r:id="rId3" w:type="default"/>
          <w:pgSz w:w="11906" w:h="16838"/>
          <w:pgMar w:top="1440" w:right="1800" w:bottom="1440" w:left="1800" w:header="851" w:footer="992" w:gutter="0"/>
          <w:pgNumType w:start="1"/>
          <w:cols w:space="720" w:num="1"/>
          <w:docGrid w:type="lines" w:linePitch="312" w:charSpace="0"/>
        </w:sectPr>
      </w:pPr>
      <w:r>
        <w:rPr>
          <w:rFonts w:hint="default" w:ascii="Times New Roman" w:hAnsi="Times New Roman" w:eastAsia="宋体" w:cs="Times New Roman"/>
          <w:szCs w:val="24"/>
        </w:rPr>
        <w:fldChar w:fldCharType="end"/>
      </w:r>
    </w:p>
    <w:p>
      <w:pPr>
        <w:spacing w:line="360" w:lineRule="auto"/>
        <w:rPr>
          <w:rFonts w:ascii="Times New Roman" w:hAnsi="Times New Roman"/>
          <w:sz w:val="24"/>
        </w:rPr>
      </w:pPr>
    </w:p>
    <w:p>
      <w:pPr>
        <w:pStyle w:val="13"/>
        <w:rPr>
          <w:rFonts w:hint="eastAsia" w:eastAsia="宋体"/>
          <w:lang w:eastAsia="zh-CN"/>
        </w:rPr>
      </w:pPr>
      <w:bookmarkStart w:id="0" w:name="_Toc15193"/>
      <w:bookmarkStart w:id="1" w:name="_Toc97912831"/>
      <w:bookmarkStart w:id="2" w:name="_Toc15380"/>
      <w:r>
        <w:rPr>
          <w:rFonts w:hint="eastAsia"/>
        </w:rPr>
        <w:t>一</w:t>
      </w:r>
      <w:bookmarkEnd w:id="0"/>
      <w:bookmarkEnd w:id="1"/>
      <w:r>
        <w:rPr>
          <w:rFonts w:hint="eastAsia"/>
          <w:lang w:eastAsia="zh-CN"/>
        </w:rPr>
        <w:t>、</w:t>
      </w:r>
      <w:r>
        <w:rPr>
          <w:rFonts w:hint="eastAsia"/>
          <w:lang w:val="en-US" w:eastAsia="zh-CN"/>
        </w:rPr>
        <w:t>前言</w:t>
      </w:r>
      <w:bookmarkEnd w:id="2"/>
    </w:p>
    <w:p>
      <w:pPr>
        <w:pStyle w:val="70"/>
        <w:ind w:firstLine="480"/>
        <w:jc w:val="both"/>
        <w:rPr>
          <w:rFonts w:ascii="Arial" w:hAnsi="Arial" w:eastAsia="宋体" w:cs="Arial"/>
          <w:i w:val="0"/>
          <w:iCs w:val="0"/>
          <w:caps w:val="0"/>
          <w:color w:val="000000"/>
          <w:spacing w:val="0"/>
          <w:sz w:val="19"/>
          <w:szCs w:val="19"/>
        </w:rPr>
      </w:pPr>
    </w:p>
    <w:p>
      <w:pPr>
        <w:pStyle w:val="70"/>
        <w:ind w:firstLine="480"/>
        <w:jc w:val="both"/>
      </w:pPr>
      <w:r>
        <w:rPr>
          <w:rFonts w:hint="eastAsia" w:ascii="宋体" w:hAnsi="宋体" w:eastAsia="宋体" w:cs="宋体"/>
        </w:rPr>
        <w:t>江门产业转移工业园台山园区位于台山工业新城，台山园区规划总面积为</w:t>
      </w:r>
      <w:r>
        <w:rPr>
          <w:rFonts w:hint="eastAsia"/>
        </w:rPr>
        <w:t>616.13</w:t>
      </w:r>
      <w:r>
        <w:rPr>
          <w:rFonts w:hint="eastAsia" w:ascii="宋体" w:hAnsi="宋体" w:eastAsia="宋体" w:cs="宋体"/>
        </w:rPr>
        <w:t>公顷，分南组团、北组团、东组团三个组团，北组团规划主导产业为核电辅助装备、电气仪表与非动力核技术应用产业、南组团规划主导产业为核电辅助装备与机械零配件产业、东组团规划主导产业为电子信息与创意研发产业。园区于</w:t>
      </w:r>
      <w:r>
        <w:rPr>
          <w:rFonts w:hint="eastAsia"/>
        </w:rPr>
        <w:t>2011</w:t>
      </w:r>
      <w:r>
        <w:rPr>
          <w:rFonts w:hint="eastAsia" w:ascii="宋体" w:hAnsi="宋体" w:eastAsia="宋体" w:cs="宋体"/>
        </w:rPr>
        <w:t>年</w:t>
      </w:r>
      <w:r>
        <w:rPr>
          <w:rFonts w:hint="eastAsia"/>
        </w:rPr>
        <w:t>6</w:t>
      </w:r>
      <w:r>
        <w:rPr>
          <w:rFonts w:hint="eastAsia" w:ascii="宋体" w:hAnsi="宋体" w:eastAsia="宋体" w:cs="宋体"/>
        </w:rPr>
        <w:t>月取得了广东省环境保护厅的规划环评审查意见《关于江门产业转移工业园台山园区环境影响报告书审查意见的函》（粤环审</w:t>
      </w:r>
      <w:r>
        <w:rPr>
          <w:rFonts w:hint="eastAsia"/>
        </w:rPr>
        <w:t>[2011]216</w:t>
      </w:r>
      <w:r>
        <w:rPr>
          <w:rFonts w:hint="eastAsia" w:ascii="宋体" w:hAnsi="宋体" w:eastAsia="宋体" w:cs="宋体"/>
        </w:rPr>
        <w:t>号）。</w:t>
      </w:r>
    </w:p>
    <w:p>
      <w:pPr>
        <w:pStyle w:val="70"/>
        <w:ind w:firstLine="480"/>
        <w:jc w:val="both"/>
        <w:rPr>
          <w:rFonts w:hint="eastAsia" w:ascii="宋体" w:hAnsi="宋体" w:eastAsia="宋体" w:cs="宋体"/>
        </w:rPr>
      </w:pPr>
      <w:r>
        <w:rPr>
          <w:rFonts w:hint="eastAsia" w:ascii="宋体" w:hAnsi="宋体" w:eastAsia="宋体" w:cs="宋体"/>
        </w:rPr>
        <w:t>台山园区已开发面积达到312.35公顷，占规划用地规模616.13公顷的50.70%。其中开发的工业用地为246.77公顷，约规划开发工业用地447.91公顷的55.09%。</w:t>
      </w:r>
    </w:p>
    <w:p>
      <w:pPr>
        <w:pStyle w:val="70"/>
        <w:ind w:firstLine="480"/>
        <w:jc w:val="both"/>
        <w:rPr>
          <w:rFonts w:hint="eastAsia" w:ascii="宋体" w:hAnsi="宋体" w:eastAsia="宋体" w:cs="宋体"/>
        </w:rPr>
      </w:pPr>
      <w:r>
        <w:rPr>
          <w:rFonts w:hint="eastAsia" w:ascii="宋体" w:hAnsi="宋体" w:eastAsia="宋体" w:cs="宋体"/>
        </w:rPr>
        <w:t>根据《广东省人民政府办公室印发关于深化我省环境影响评价制度改革指导意见的通知》（粤办函(2020) 44号）和《广东省生态环境厅关于进一步</w:t>
      </w:r>
      <w:r>
        <w:rPr>
          <w:rFonts w:hint="eastAsia" w:ascii="宋体" w:hAnsi="宋体" w:eastAsia="宋体" w:cs="宋体"/>
          <w:lang w:val="en-US" w:eastAsia="zh-CN"/>
        </w:rPr>
        <w:t>做好产业园规划环境影响评价工作的通知</w:t>
      </w:r>
      <w:r>
        <w:rPr>
          <w:rFonts w:hint="eastAsia" w:ascii="宋体" w:hAnsi="宋体" w:eastAsia="宋体" w:cs="宋体"/>
        </w:rPr>
        <w:t>》（粤环</w:t>
      </w:r>
      <w:r>
        <w:rPr>
          <w:rFonts w:hint="eastAsia" w:ascii="宋体" w:hAnsi="宋体" w:eastAsia="宋体" w:cs="宋体"/>
          <w:lang w:val="en-US" w:eastAsia="zh-CN"/>
        </w:rPr>
        <w:t>函</w:t>
      </w:r>
      <w:r>
        <w:rPr>
          <w:rFonts w:hint="eastAsia" w:ascii="宋体" w:hAnsi="宋体" w:eastAsia="宋体" w:cs="宋体"/>
        </w:rPr>
        <w:t>〔20</w:t>
      </w:r>
      <w:r>
        <w:rPr>
          <w:rFonts w:hint="eastAsia" w:ascii="宋体" w:hAnsi="宋体" w:eastAsia="宋体" w:cs="宋体"/>
          <w:lang w:val="en-US" w:eastAsia="zh-CN"/>
        </w:rPr>
        <w:t>21</w:t>
      </w:r>
      <w:r>
        <w:rPr>
          <w:rFonts w:hint="eastAsia" w:ascii="宋体" w:hAnsi="宋体" w:eastAsia="宋体" w:cs="宋体"/>
        </w:rPr>
        <w:t>〕</w:t>
      </w:r>
      <w:r>
        <w:rPr>
          <w:rFonts w:hint="eastAsia" w:ascii="宋体" w:hAnsi="宋体" w:eastAsia="宋体" w:cs="宋体"/>
          <w:lang w:val="en-US" w:eastAsia="zh-CN"/>
        </w:rPr>
        <w:t>64</w:t>
      </w:r>
      <w:r>
        <w:rPr>
          <w:rFonts w:hint="eastAsia" w:ascii="宋体" w:hAnsi="宋体" w:eastAsia="宋体" w:cs="宋体"/>
        </w:rPr>
        <w:t>号）文件</w:t>
      </w:r>
      <w:bookmarkStart w:id="63" w:name="_GoBack"/>
      <w:bookmarkEnd w:id="63"/>
      <w:r>
        <w:rPr>
          <w:rFonts w:hint="eastAsia" w:ascii="宋体" w:hAnsi="宋体" w:eastAsia="宋体" w:cs="宋体"/>
        </w:rPr>
        <w:t>要求，现将我园区202</w:t>
      </w:r>
      <w:r>
        <w:rPr>
          <w:rFonts w:hint="eastAsia" w:ascii="宋体" w:hAnsi="宋体" w:eastAsia="宋体" w:cs="宋体"/>
          <w:lang w:val="en-US" w:eastAsia="zh-CN"/>
        </w:rPr>
        <w:t>2</w:t>
      </w:r>
      <w:r>
        <w:rPr>
          <w:rFonts w:hint="eastAsia" w:ascii="宋体" w:hAnsi="宋体" w:eastAsia="宋体" w:cs="宋体"/>
        </w:rPr>
        <w:t>年度环境状况与管理情况报告如下：</w:t>
      </w:r>
    </w:p>
    <w:p>
      <w:pPr>
        <w:pStyle w:val="70"/>
        <w:ind w:firstLine="480"/>
        <w:jc w:val="both"/>
        <w:rPr>
          <w:rFonts w:hint="eastAsia" w:ascii="宋体" w:hAnsi="宋体" w:eastAsia="宋体" w:cs="宋体"/>
        </w:rPr>
        <w:sectPr>
          <w:footerReference r:id="rId4" w:type="default"/>
          <w:pgSz w:w="11906" w:h="16838"/>
          <w:pgMar w:top="1440" w:right="1800" w:bottom="1440" w:left="1800" w:header="851" w:footer="992" w:gutter="0"/>
          <w:pgNumType w:start="1"/>
          <w:cols w:space="720" w:num="1"/>
          <w:docGrid w:type="lines" w:linePitch="312" w:charSpace="0"/>
        </w:sectPr>
      </w:pPr>
    </w:p>
    <w:p>
      <w:pPr>
        <w:pStyle w:val="13"/>
      </w:pPr>
      <w:bookmarkStart w:id="3" w:name="_Toc15379"/>
      <w:bookmarkStart w:id="4" w:name="_Toc97912832"/>
      <w:r>
        <w:rPr>
          <w:rFonts w:hint="eastAsia"/>
        </w:rPr>
        <w:t>二</w:t>
      </w:r>
      <w:r>
        <w:rPr>
          <w:rFonts w:hint="eastAsia"/>
          <w:lang w:eastAsia="zh-CN"/>
        </w:rPr>
        <w:t>、</w:t>
      </w:r>
      <w:r>
        <w:rPr>
          <w:rFonts w:hint="eastAsia"/>
        </w:rPr>
        <w:t>园区</w:t>
      </w:r>
      <w:r>
        <w:t>概况</w:t>
      </w:r>
      <w:bookmarkEnd w:id="3"/>
      <w:bookmarkEnd w:id="4"/>
    </w:p>
    <w:p>
      <w:pPr>
        <w:pStyle w:val="14"/>
      </w:pPr>
      <w:bookmarkStart w:id="5" w:name="_Toc30515"/>
      <w:bookmarkStart w:id="6" w:name="_Toc97912833"/>
      <w:bookmarkStart w:id="7" w:name="_Toc26925"/>
      <w:r>
        <w:t>2</w:t>
      </w:r>
      <w:r>
        <w:rPr>
          <w:rFonts w:hint="eastAsia"/>
        </w:rPr>
        <w:t xml:space="preserve">.1 </w:t>
      </w:r>
      <w:bookmarkEnd w:id="5"/>
      <w:r>
        <w:rPr>
          <w:rFonts w:hint="eastAsia"/>
        </w:rPr>
        <w:t>地理位置</w:t>
      </w:r>
      <w:bookmarkEnd w:id="6"/>
      <w:bookmarkEnd w:id="7"/>
    </w:p>
    <w:p>
      <w:pPr>
        <w:spacing w:line="360" w:lineRule="auto"/>
        <w:ind w:firstLine="480" w:firstLineChars="200"/>
        <w:rPr>
          <w:rFonts w:ascii="Times New Roman" w:hAnsi="Times New Roman"/>
          <w:sz w:val="24"/>
        </w:rPr>
      </w:pPr>
      <w:r>
        <w:rPr>
          <w:rFonts w:hint="eastAsia" w:ascii="Times New Roman" w:hAnsi="Times New Roman"/>
          <w:sz w:val="24"/>
        </w:rPr>
        <w:t>江门产业转移工业园台山园区位于台山工业新城，台山园区规划总面积为616.13公顷，分南组团、北组团、东组团三个组团。江门产业转移工业园台山园区位置图如下。</w:t>
      </w:r>
    </w:p>
    <w:p>
      <w:pPr>
        <w:pStyle w:val="2"/>
        <w:jc w:val="center"/>
      </w:pPr>
      <w:r>
        <w:pict>
          <v:shape id="_x0000_i1025" o:spt="75" type="#_x0000_t75" style="height:503.2pt;width:333.9pt;" filled="f" o:preferrelative="t" stroked="t" coordsize="21600,21600">
            <v:path/>
            <v:fill on="f" focussize="0,0"/>
            <v:stroke color="#000000"/>
            <v:imagedata r:id="rId6" o:title=""/>
            <o:lock v:ext="edit" aspectratio="t"/>
            <w10:wrap type="none"/>
            <w10:anchorlock/>
          </v:shape>
        </w:pict>
      </w:r>
    </w:p>
    <w:p>
      <w:pPr>
        <w:pStyle w:val="14"/>
      </w:pPr>
      <w:bookmarkStart w:id="8" w:name="_Toc97912838"/>
      <w:bookmarkStart w:id="9" w:name="_Toc18317"/>
      <w:r>
        <w:t>2.</w:t>
      </w:r>
      <w:r>
        <w:rPr>
          <w:rFonts w:hint="eastAsia"/>
          <w:lang w:val="en-US" w:eastAsia="zh-CN"/>
        </w:rPr>
        <w:t>2</w:t>
      </w:r>
      <w:r>
        <w:t>产业布局</w:t>
      </w:r>
      <w:bookmarkEnd w:id="8"/>
      <w:bookmarkEnd w:id="9"/>
    </w:p>
    <w:p>
      <w:pPr>
        <w:pStyle w:val="70"/>
        <w:ind w:firstLine="480"/>
        <w:jc w:val="left"/>
        <w:rPr>
          <w:rFonts w:eastAsia="宋体"/>
        </w:rPr>
      </w:pPr>
      <w:r>
        <w:rPr>
          <w:rFonts w:hint="eastAsia" w:eastAsia="宋体"/>
        </w:rPr>
        <w:t>园区产业发展布局为：北组团以核电辅助装备、电气仪表与非动力核技术应用产业为主、南组团以核电辅助装备与机械零配件产业为主、东组团以电子信息与创意研发产业为主。</w:t>
      </w:r>
    </w:p>
    <w:p>
      <w:pPr>
        <w:pStyle w:val="70"/>
        <w:ind w:firstLine="480"/>
        <w:jc w:val="left"/>
        <w:rPr>
          <w:rFonts w:eastAsia="宋体"/>
          <w:color w:val="000000" w:themeColor="text1"/>
        </w:rPr>
      </w:pPr>
      <w:r>
        <w:rPr>
          <w:rFonts w:hint="eastAsia" w:eastAsia="宋体"/>
        </w:rPr>
        <w:t>园区规划总面积616.13公顷。规划用地分为三区，一区（南组团）273.96公顷、二区（北组团）187.96公顷、三区（东组团）154.2</w:t>
      </w:r>
      <w:r>
        <w:rPr>
          <w:rFonts w:hint="eastAsia" w:eastAsia="宋体"/>
          <w:color w:val="000000"/>
        </w:rPr>
        <w:t>1公顷。</w:t>
      </w:r>
      <w:r>
        <w:rPr>
          <w:rFonts w:hint="eastAsia" w:eastAsia="宋体"/>
          <w:color w:val="000000"/>
          <w:lang w:val="en-US" w:eastAsia="zh-CN"/>
        </w:rPr>
        <w:t>截止至2022年底</w:t>
      </w:r>
      <w:r>
        <w:rPr>
          <w:rFonts w:hint="eastAsia" w:eastAsia="宋体"/>
          <w:color w:val="000000"/>
        </w:rPr>
        <w:t>，东组团暂</w:t>
      </w:r>
      <w:r>
        <w:rPr>
          <w:rFonts w:hint="eastAsia" w:eastAsia="宋体"/>
          <w:color w:val="000000" w:themeColor="text1"/>
        </w:rPr>
        <w:t>未开发；南组团工业生产片区内共有</w:t>
      </w:r>
      <w:r>
        <w:rPr>
          <w:rFonts w:hint="eastAsia" w:eastAsia="宋体"/>
          <w:color w:val="000000" w:themeColor="text1"/>
          <w:lang w:val="en-US" w:eastAsia="zh-CN"/>
        </w:rPr>
        <w:t>25</w:t>
      </w:r>
      <w:r>
        <w:rPr>
          <w:rFonts w:hint="eastAsia" w:eastAsia="宋体"/>
          <w:color w:val="000000" w:themeColor="text1"/>
        </w:rPr>
        <w:t>家企业，其中机械零配件制造企业</w:t>
      </w:r>
      <w:r>
        <w:rPr>
          <w:rFonts w:hint="eastAsia" w:eastAsia="宋体"/>
          <w:color w:val="000000" w:themeColor="text1"/>
          <w:lang w:val="en-US" w:eastAsia="zh-CN"/>
        </w:rPr>
        <w:t>12</w:t>
      </w:r>
      <w:r>
        <w:rPr>
          <w:rFonts w:hint="eastAsia" w:eastAsia="宋体"/>
          <w:color w:val="000000" w:themeColor="text1"/>
        </w:rPr>
        <w:t>家，其他规划产业外企业</w:t>
      </w:r>
      <w:r>
        <w:rPr>
          <w:rFonts w:hint="eastAsia" w:eastAsia="宋体"/>
          <w:color w:val="000000" w:themeColor="text1"/>
          <w:lang w:val="en-US" w:eastAsia="zh-CN"/>
        </w:rPr>
        <w:t>13</w:t>
      </w:r>
      <w:r>
        <w:rPr>
          <w:rFonts w:hint="eastAsia" w:eastAsia="宋体"/>
          <w:color w:val="000000" w:themeColor="text1"/>
        </w:rPr>
        <w:t>家；北组团共有</w:t>
      </w:r>
      <w:r>
        <w:rPr>
          <w:rFonts w:hint="eastAsia" w:eastAsia="宋体"/>
          <w:color w:val="000000" w:themeColor="text1"/>
          <w:lang w:val="en-US" w:eastAsia="zh-CN"/>
        </w:rPr>
        <w:t>29</w:t>
      </w:r>
      <w:r>
        <w:rPr>
          <w:rFonts w:hint="eastAsia" w:eastAsia="宋体"/>
          <w:color w:val="000000" w:themeColor="text1"/>
        </w:rPr>
        <w:t>家企业，其中机械零配件制造企业</w:t>
      </w:r>
      <w:r>
        <w:rPr>
          <w:rFonts w:hint="eastAsia" w:eastAsia="宋体"/>
          <w:color w:val="000000" w:themeColor="text1"/>
          <w:lang w:val="en-US" w:eastAsia="zh-CN"/>
        </w:rPr>
        <w:t>6</w:t>
      </w:r>
      <w:r>
        <w:rPr>
          <w:rFonts w:hint="eastAsia" w:eastAsia="宋体"/>
          <w:color w:val="000000" w:themeColor="text1"/>
        </w:rPr>
        <w:t>家，其他规划产业外企业</w:t>
      </w:r>
      <w:r>
        <w:rPr>
          <w:rFonts w:hint="eastAsia" w:eastAsia="宋体"/>
          <w:color w:val="000000" w:themeColor="text1"/>
          <w:lang w:val="en-US" w:eastAsia="zh-CN"/>
        </w:rPr>
        <w:t>23</w:t>
      </w:r>
      <w:r>
        <w:rPr>
          <w:rFonts w:hint="eastAsia" w:eastAsia="宋体"/>
          <w:color w:val="000000" w:themeColor="text1"/>
        </w:rPr>
        <w:t>家。</w:t>
      </w:r>
    </w:p>
    <w:p>
      <w:pPr>
        <w:pStyle w:val="14"/>
      </w:pPr>
      <w:bookmarkStart w:id="10" w:name="_Toc97912839"/>
      <w:bookmarkStart w:id="11" w:name="_Toc29847"/>
      <w:r>
        <w:rPr>
          <w:rFonts w:hint="eastAsia"/>
        </w:rPr>
        <w:t>2</w:t>
      </w:r>
      <w:r>
        <w:t>.</w:t>
      </w:r>
      <w:r>
        <w:rPr>
          <w:rFonts w:hint="eastAsia"/>
          <w:lang w:val="en-US" w:eastAsia="zh-CN"/>
        </w:rPr>
        <w:t>3</w:t>
      </w:r>
      <w:r>
        <w:rPr>
          <w:rFonts w:hint="eastAsia"/>
        </w:rPr>
        <w:t>环境功能区划</w:t>
      </w:r>
      <w:bookmarkEnd w:id="10"/>
      <w:bookmarkEnd w:id="11"/>
    </w:p>
    <w:p>
      <w:pPr>
        <w:pStyle w:val="15"/>
      </w:pPr>
      <w:bookmarkStart w:id="12" w:name="_Toc97912840"/>
      <w:r>
        <w:t>2.</w:t>
      </w:r>
      <w:r>
        <w:rPr>
          <w:rFonts w:hint="eastAsia"/>
          <w:lang w:val="en-US" w:eastAsia="zh-CN"/>
        </w:rPr>
        <w:t>3</w:t>
      </w:r>
      <w:r>
        <w:t>.1地表水环境功能区划</w:t>
      </w:r>
      <w:bookmarkEnd w:id="12"/>
    </w:p>
    <w:p>
      <w:pPr>
        <w:pStyle w:val="70"/>
        <w:ind w:firstLine="480"/>
        <w:jc w:val="left"/>
        <w:rPr>
          <w:rFonts w:eastAsia="宋体"/>
        </w:rPr>
      </w:pPr>
      <w:r>
        <w:rPr>
          <w:rFonts w:hint="eastAsia" w:eastAsia="宋体"/>
        </w:rPr>
        <w:t>台山产业转移工业园所在区域周边地表水主要包括龙江排洪渠、水步河、公益水、潭江。根据《广东省地表水环境功能区划》（粤环〔2011〕14号），公益水的水质目标为III类，潭江水质目标为II类，未对于园区西面的水步河及园区内部的龙江排洪渠进行水环境功能划分，根据《江门产业转移工业园台山园区环境影响报告书》，水步河主要用于排洪和农田灌溉，水环境功能按照IV类水功能区执行，龙江排洪渠主要用于纳污排污，水环境功能按照IV类水功能区执行。</w:t>
      </w:r>
    </w:p>
    <w:p>
      <w:pPr>
        <w:pStyle w:val="70"/>
        <w:ind w:firstLine="480"/>
        <w:jc w:val="left"/>
        <w:rPr>
          <w:rFonts w:eastAsia="宋体"/>
        </w:rPr>
      </w:pPr>
      <w:r>
        <w:rPr>
          <w:rFonts w:hint="eastAsia" w:eastAsia="宋体"/>
        </w:rPr>
        <w:t>根据《广东省人民政府关于调整江门市部分饮用水水源保护区的批复》粤府函〔2019〕273号，台山市水源保护区主要是潭江部分河段和部分水库，距离园区最近的水源保护区为其西南约3.7km的石花山水库。</w:t>
      </w:r>
    </w:p>
    <w:p>
      <w:pPr>
        <w:pStyle w:val="15"/>
      </w:pPr>
      <w:bookmarkStart w:id="13" w:name="_Toc97912841"/>
      <w:r>
        <w:rPr>
          <w:rFonts w:hint="eastAsia"/>
        </w:rPr>
        <w:t>2</w:t>
      </w:r>
      <w:r>
        <w:t>.</w:t>
      </w:r>
      <w:r>
        <w:rPr>
          <w:rFonts w:hint="eastAsia"/>
          <w:lang w:val="en-US" w:eastAsia="zh-CN"/>
        </w:rPr>
        <w:t>3</w:t>
      </w:r>
      <w:r>
        <w:t>.2地下水环境功能区划</w:t>
      </w:r>
      <w:bookmarkEnd w:id="13"/>
    </w:p>
    <w:p>
      <w:pPr>
        <w:pStyle w:val="70"/>
        <w:ind w:firstLine="480"/>
        <w:jc w:val="left"/>
        <w:rPr>
          <w:rFonts w:eastAsia="宋体"/>
        </w:rPr>
      </w:pPr>
      <w:r>
        <w:rPr>
          <w:rFonts w:hint="eastAsia" w:eastAsia="宋体"/>
        </w:rPr>
        <w:t>根据《广东省地下水功能区划》（粤水资源〔2009〕19号），园区所在区域地下水功能区划为“珠江三角洲江门开平台山地下水水源涵养区”（代码：H074407002T03），水质保护目标为III类。</w:t>
      </w:r>
    </w:p>
    <w:p>
      <w:pPr>
        <w:pStyle w:val="15"/>
      </w:pPr>
      <w:bookmarkStart w:id="14" w:name="_Toc97912842"/>
      <w:r>
        <w:rPr>
          <w:rFonts w:hint="eastAsia"/>
        </w:rPr>
        <w:t>2</w:t>
      </w:r>
      <w:r>
        <w:t>.</w:t>
      </w:r>
      <w:r>
        <w:rPr>
          <w:rFonts w:hint="eastAsia"/>
          <w:lang w:val="en-US" w:eastAsia="zh-CN"/>
        </w:rPr>
        <w:t>3</w:t>
      </w:r>
      <w:r>
        <w:t>.3空气环境功能区划</w:t>
      </w:r>
      <w:bookmarkEnd w:id="14"/>
    </w:p>
    <w:p>
      <w:pPr>
        <w:pStyle w:val="70"/>
        <w:ind w:firstLine="480"/>
        <w:jc w:val="left"/>
        <w:rPr>
          <w:rFonts w:eastAsia="宋体"/>
        </w:rPr>
      </w:pPr>
      <w:r>
        <w:rPr>
          <w:rFonts w:hint="eastAsia" w:eastAsia="宋体"/>
        </w:rPr>
        <w:t>园区涉及台山市水步镇、大江镇，根据《江门市环境保护规划（2006-2020年）》，园区属于二类环境空气功能区，执行《环境空气质量标准》（GB3095-2012）中的二级标准 。</w:t>
      </w:r>
    </w:p>
    <w:p>
      <w:pPr>
        <w:pStyle w:val="15"/>
      </w:pPr>
      <w:bookmarkStart w:id="15" w:name="_Toc97912843"/>
      <w:r>
        <w:t>2.</w:t>
      </w:r>
      <w:r>
        <w:rPr>
          <w:rFonts w:hint="eastAsia"/>
          <w:lang w:val="en-US" w:eastAsia="zh-CN"/>
        </w:rPr>
        <w:t>3</w:t>
      </w:r>
      <w:r>
        <w:t>.4声环境功能区划</w:t>
      </w:r>
      <w:bookmarkEnd w:id="15"/>
    </w:p>
    <w:p>
      <w:pPr>
        <w:pStyle w:val="70"/>
        <w:ind w:firstLine="480"/>
        <w:jc w:val="left"/>
        <w:rPr>
          <w:rFonts w:eastAsia="宋体"/>
        </w:rPr>
      </w:pPr>
      <w:r>
        <w:rPr>
          <w:rFonts w:hint="eastAsia" w:eastAsia="宋体"/>
        </w:rPr>
        <w:t>根据《江门市声环境功能区划》（江环〔2019〕378号），园区属于3类环境功能区（编号34001），执行《声环境质量标准》（GB3096-2008）3类标准。园区内村庄、员工宿舍及周边村庄等敏感点属于2类声环境功能区，执行《声环境质量标准》（GB3096-2008）2类标准；靠近新台高速公路，新台高速公路30m范围内的区域属于4a类声环境功能区，执行《声环境质量标准》（GB3096-2008）4a类标准。</w:t>
      </w:r>
    </w:p>
    <w:p>
      <w:pPr>
        <w:pStyle w:val="15"/>
      </w:pPr>
      <w:bookmarkStart w:id="16" w:name="_Toc97912844"/>
      <w:r>
        <w:rPr>
          <w:rFonts w:hint="eastAsia"/>
        </w:rPr>
        <w:t>2</w:t>
      </w:r>
      <w:r>
        <w:t>.</w:t>
      </w:r>
      <w:r>
        <w:rPr>
          <w:rFonts w:hint="eastAsia"/>
          <w:lang w:val="en-US" w:eastAsia="zh-CN"/>
        </w:rPr>
        <w:t>3</w:t>
      </w:r>
      <w:r>
        <w:t>.5生态功能区划</w:t>
      </w:r>
      <w:bookmarkEnd w:id="16"/>
    </w:p>
    <w:p>
      <w:pPr>
        <w:pStyle w:val="70"/>
        <w:ind w:firstLine="480"/>
        <w:jc w:val="left"/>
        <w:rPr>
          <w:rFonts w:eastAsia="宋体"/>
        </w:rPr>
        <w:sectPr>
          <w:pgSz w:w="11906" w:h="16838"/>
          <w:pgMar w:top="1440" w:right="1800" w:bottom="1440" w:left="1800" w:header="851" w:footer="992" w:gutter="0"/>
          <w:cols w:space="720" w:num="1"/>
          <w:docGrid w:type="lines" w:linePitch="312" w:charSpace="0"/>
        </w:sectPr>
      </w:pPr>
      <w:r>
        <w:rPr>
          <w:rFonts w:hint="eastAsia" w:eastAsia="宋体"/>
        </w:rPr>
        <w:t>根据《江门市环境保护规划（2006-2020年）》，园区范围所属的生态功能区为西部河谷丘陵城镇与农业生态区，园区范围所属的生态分级控制区大部分为集约利用区，少部分为限制开发区。</w:t>
      </w:r>
    </w:p>
    <w:p>
      <w:pPr>
        <w:pStyle w:val="13"/>
      </w:pPr>
      <w:bookmarkStart w:id="17" w:name="_Toc97912845"/>
      <w:bookmarkStart w:id="18" w:name="_Toc26985"/>
      <w:r>
        <w:t>三</w:t>
      </w:r>
      <w:r>
        <w:rPr>
          <w:rFonts w:hint="eastAsia"/>
          <w:lang w:eastAsia="zh-CN"/>
        </w:rPr>
        <w:t>、</w:t>
      </w:r>
      <w:r>
        <w:t>园区</w:t>
      </w:r>
      <w:r>
        <w:rPr>
          <w:rFonts w:hint="eastAsia"/>
          <w:lang w:val="en-US" w:eastAsia="zh-CN"/>
        </w:rPr>
        <w:t>2022年</w:t>
      </w:r>
      <w:r>
        <w:t>开发现状</w:t>
      </w:r>
      <w:bookmarkEnd w:id="17"/>
      <w:bookmarkEnd w:id="18"/>
    </w:p>
    <w:p>
      <w:pPr>
        <w:pStyle w:val="14"/>
      </w:pPr>
      <w:bookmarkStart w:id="19" w:name="_Toc22994"/>
      <w:bookmarkStart w:id="20" w:name="_Toc97912846"/>
      <w:r>
        <w:rPr>
          <w:rFonts w:hint="eastAsia"/>
        </w:rPr>
        <w:t>3</w:t>
      </w:r>
      <w:r>
        <w:t>.1产业发展现状</w:t>
      </w:r>
      <w:bookmarkEnd w:id="19"/>
      <w:bookmarkEnd w:id="20"/>
    </w:p>
    <w:p>
      <w:pPr>
        <w:pStyle w:val="70"/>
        <w:ind w:firstLine="480"/>
        <w:jc w:val="left"/>
        <w:rPr>
          <w:rFonts w:eastAsia="宋体"/>
          <w:color w:val="000000" w:themeColor="text1"/>
        </w:rPr>
      </w:pPr>
      <w:r>
        <w:rPr>
          <w:rFonts w:hint="eastAsia" w:eastAsia="宋体"/>
        </w:rPr>
        <w:t>台山产业转移工业园目前涉及的产业类型包括：机械零配件制造、电气机械和器材制造、电子设备制造、新材料制造、非金属矿物制品制</w:t>
      </w:r>
      <w:r>
        <w:rPr>
          <w:rFonts w:hint="eastAsia" w:eastAsia="宋体"/>
          <w:color w:val="000000" w:themeColor="text1"/>
        </w:rPr>
        <w:t>造、家具制造、塑料制品制造、食品制造、有色金属冶炼和压延加工、日用纸品、</w:t>
      </w:r>
      <w:r>
        <w:rPr>
          <w:rFonts w:hint="eastAsia" w:eastAsia="宋体"/>
          <w:color w:val="000000" w:themeColor="text1"/>
          <w:lang w:val="en-US" w:eastAsia="zh-CN"/>
        </w:rPr>
        <w:t>金属制造</w:t>
      </w:r>
      <w:r>
        <w:rPr>
          <w:rFonts w:hint="eastAsia" w:eastAsia="宋体"/>
          <w:color w:val="000000" w:themeColor="text1"/>
        </w:rPr>
        <w:t>共</w:t>
      </w:r>
      <w:r>
        <w:rPr>
          <w:rFonts w:hint="eastAsia" w:eastAsia="宋体"/>
          <w:color w:val="000000" w:themeColor="text1"/>
          <w:lang w:val="en-US" w:eastAsia="zh-CN"/>
        </w:rPr>
        <w:t>11</w:t>
      </w:r>
      <w:r>
        <w:rPr>
          <w:rFonts w:hint="eastAsia" w:eastAsia="宋体"/>
          <w:color w:val="000000" w:themeColor="text1"/>
        </w:rPr>
        <w:t>个行业</w:t>
      </w:r>
      <w:r>
        <w:rPr>
          <w:rFonts w:hint="eastAsia" w:eastAsia="宋体"/>
          <w:color w:val="000000" w:themeColor="text1"/>
          <w:lang w:val="en-US" w:eastAsia="zh-CN"/>
        </w:rPr>
        <w:t>54</w:t>
      </w:r>
      <w:r>
        <w:rPr>
          <w:rFonts w:hint="eastAsia" w:eastAsia="宋体"/>
          <w:color w:val="000000" w:themeColor="text1"/>
        </w:rPr>
        <w:t xml:space="preserve"> 家工业企业，正常生产企业</w:t>
      </w:r>
      <w:r>
        <w:rPr>
          <w:rFonts w:hint="eastAsia" w:eastAsia="宋体"/>
          <w:color w:val="000000" w:themeColor="text1"/>
          <w:lang w:val="en-US" w:eastAsia="zh-CN"/>
        </w:rPr>
        <w:t>47</w:t>
      </w:r>
      <w:r>
        <w:rPr>
          <w:rFonts w:hint="eastAsia" w:eastAsia="宋体"/>
          <w:color w:val="000000" w:themeColor="text1"/>
        </w:rPr>
        <w:t>家，在建企业</w:t>
      </w:r>
      <w:r>
        <w:rPr>
          <w:rFonts w:hint="eastAsia" w:eastAsia="宋体"/>
          <w:color w:val="000000" w:themeColor="text1"/>
          <w:lang w:val="en-US" w:eastAsia="zh-CN"/>
        </w:rPr>
        <w:t>7</w:t>
      </w:r>
      <w:r>
        <w:rPr>
          <w:rFonts w:hint="eastAsia" w:eastAsia="宋体"/>
          <w:color w:val="000000" w:themeColor="text1"/>
        </w:rPr>
        <w:t>家（详见下表）。</w:t>
      </w:r>
    </w:p>
    <w:p>
      <w:pPr>
        <w:pStyle w:val="70"/>
        <w:ind w:firstLine="0" w:firstLineChars="0"/>
        <w:rPr>
          <w:rFonts w:eastAsia="宋体"/>
          <w:b/>
          <w:color w:val="000000" w:themeColor="text1"/>
          <w:sz w:val="21"/>
          <w:szCs w:val="21"/>
        </w:rPr>
      </w:pPr>
      <w:r>
        <w:rPr>
          <w:rFonts w:eastAsia="宋体"/>
          <w:b/>
          <w:color w:val="000000" w:themeColor="text1"/>
          <w:sz w:val="21"/>
          <w:szCs w:val="21"/>
        </w:rPr>
        <w:t>表3.1-1入园企业基本情况一览表</w:t>
      </w:r>
    </w:p>
    <w:tbl>
      <w:tblPr>
        <w:tblStyle w:val="35"/>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1"/>
        <w:gridCol w:w="534"/>
        <w:gridCol w:w="2850"/>
        <w:gridCol w:w="918"/>
        <w:gridCol w:w="1506"/>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69" w:type="dxa"/>
            <w:shd w:val="clear" w:color="auto" w:fill="auto"/>
            <w:vAlign w:val="center"/>
          </w:tcPr>
          <w:p>
            <w:pPr>
              <w:jc w:val="center"/>
              <w:rPr>
                <w:rFonts w:ascii="Times New Roman" w:hAnsi="Times New Roman"/>
                <w:b/>
                <w:color w:val="000000" w:themeColor="text1"/>
                <w:kern w:val="0"/>
                <w:szCs w:val="21"/>
              </w:rPr>
            </w:pPr>
            <w:r>
              <w:rPr>
                <w:rFonts w:ascii="Times New Roman" w:hAnsi="Times New Roman"/>
                <w:b/>
                <w:color w:val="000000" w:themeColor="text1"/>
                <w:spacing w:val="-3"/>
                <w:kern w:val="0"/>
                <w:szCs w:val="21"/>
              </w:rPr>
              <w:t>行业类别</w:t>
            </w:r>
          </w:p>
        </w:tc>
        <w:tc>
          <w:tcPr>
            <w:tcW w:w="533" w:type="dxa"/>
            <w:shd w:val="clear" w:color="auto" w:fill="auto"/>
            <w:vAlign w:val="center"/>
          </w:tcPr>
          <w:p>
            <w:pPr>
              <w:jc w:val="center"/>
              <w:rPr>
                <w:rFonts w:ascii="Times New Roman" w:hAnsi="Times New Roman"/>
                <w:b/>
                <w:color w:val="000000" w:themeColor="text1"/>
                <w:kern w:val="0"/>
                <w:szCs w:val="21"/>
              </w:rPr>
            </w:pPr>
            <w:r>
              <w:rPr>
                <w:rFonts w:ascii="Times New Roman" w:hAnsi="Times New Roman"/>
                <w:b/>
                <w:color w:val="000000" w:themeColor="text1"/>
                <w:spacing w:val="-4"/>
                <w:kern w:val="0"/>
                <w:szCs w:val="21"/>
              </w:rPr>
              <w:t>序号</w:t>
            </w:r>
          </w:p>
        </w:tc>
        <w:tc>
          <w:tcPr>
            <w:tcW w:w="2847" w:type="dxa"/>
            <w:shd w:val="clear" w:color="auto" w:fill="auto"/>
            <w:vAlign w:val="center"/>
          </w:tcPr>
          <w:p>
            <w:pPr>
              <w:jc w:val="center"/>
              <w:rPr>
                <w:rFonts w:ascii="Times New Roman" w:hAnsi="Times New Roman"/>
                <w:b/>
                <w:color w:val="000000" w:themeColor="text1"/>
                <w:kern w:val="0"/>
                <w:szCs w:val="21"/>
              </w:rPr>
            </w:pPr>
            <w:r>
              <w:rPr>
                <w:rFonts w:ascii="Times New Roman" w:hAnsi="Times New Roman"/>
                <w:b/>
                <w:color w:val="000000" w:themeColor="text1"/>
                <w:spacing w:val="-3"/>
                <w:kern w:val="0"/>
                <w:szCs w:val="21"/>
              </w:rPr>
              <w:t>企业名称</w:t>
            </w:r>
          </w:p>
        </w:tc>
        <w:tc>
          <w:tcPr>
            <w:tcW w:w="917" w:type="dxa"/>
            <w:shd w:val="clear" w:color="auto" w:fill="auto"/>
            <w:vAlign w:val="center"/>
          </w:tcPr>
          <w:p>
            <w:pPr>
              <w:jc w:val="center"/>
              <w:rPr>
                <w:rFonts w:ascii="Times New Roman" w:hAnsi="Times New Roman"/>
                <w:b/>
                <w:color w:val="000000" w:themeColor="text1"/>
                <w:kern w:val="0"/>
                <w:szCs w:val="21"/>
              </w:rPr>
            </w:pPr>
            <w:r>
              <w:rPr>
                <w:rFonts w:ascii="Times New Roman" w:hAnsi="Times New Roman"/>
                <w:b/>
                <w:color w:val="000000" w:themeColor="text1"/>
                <w:spacing w:val="-2"/>
                <w:kern w:val="0"/>
                <w:szCs w:val="21"/>
              </w:rPr>
              <w:t>所在组团</w:t>
            </w:r>
          </w:p>
        </w:tc>
        <w:tc>
          <w:tcPr>
            <w:tcW w:w="1504" w:type="dxa"/>
            <w:shd w:val="clear" w:color="auto" w:fill="auto"/>
            <w:vAlign w:val="center"/>
          </w:tcPr>
          <w:p>
            <w:pPr>
              <w:jc w:val="center"/>
              <w:rPr>
                <w:rFonts w:ascii="Times New Roman" w:hAnsi="Times New Roman"/>
                <w:b/>
                <w:color w:val="000000" w:themeColor="text1"/>
                <w:kern w:val="0"/>
                <w:szCs w:val="21"/>
              </w:rPr>
            </w:pPr>
            <w:r>
              <w:rPr>
                <w:rFonts w:ascii="Times New Roman" w:hAnsi="Times New Roman"/>
                <w:b/>
                <w:color w:val="000000" w:themeColor="text1"/>
                <w:spacing w:val="-10"/>
                <w:kern w:val="0"/>
                <w:szCs w:val="21"/>
              </w:rPr>
              <w:t>占地面积</w:t>
            </w:r>
            <w:r>
              <w:rPr>
                <w:rFonts w:ascii="Times New Roman" w:hAnsi="Times New Roman"/>
                <w:b/>
                <w:color w:val="000000" w:themeColor="text1"/>
                <w:spacing w:val="-85"/>
                <w:kern w:val="0"/>
                <w:szCs w:val="21"/>
              </w:rPr>
              <w:t xml:space="preserve"> </w:t>
            </w:r>
            <w:r>
              <w:rPr>
                <w:rFonts w:ascii="Times New Roman" w:hAnsi="Times New Roman"/>
                <w:b/>
                <w:color w:val="000000" w:themeColor="text1"/>
                <w:spacing w:val="-6"/>
                <w:kern w:val="0"/>
                <w:szCs w:val="21"/>
              </w:rPr>
              <w:t>（</w:t>
            </w:r>
            <w:r>
              <w:rPr>
                <w:rFonts w:ascii="Times New Roman" w:hAnsi="Times New Roman"/>
                <w:b/>
                <w:bCs/>
                <w:color w:val="000000" w:themeColor="text1"/>
                <w:spacing w:val="-6"/>
                <w:kern w:val="0"/>
                <w:szCs w:val="21"/>
              </w:rPr>
              <w:t>m</w:t>
            </w:r>
            <w:r>
              <w:rPr>
                <w:rFonts w:ascii="Times New Roman" w:hAnsi="Times New Roman" w:eastAsia="Times New Roman"/>
                <w:b/>
                <w:color w:val="000000" w:themeColor="text1"/>
                <w:vertAlign w:val="superscript"/>
              </w:rPr>
              <w:t>2</w:t>
            </w:r>
            <w:r>
              <w:rPr>
                <w:rFonts w:ascii="Times New Roman" w:hAnsi="Times New Roman"/>
                <w:b/>
                <w:color w:val="000000" w:themeColor="text1"/>
                <w:spacing w:val="-6"/>
                <w:kern w:val="0"/>
                <w:szCs w:val="21"/>
              </w:rPr>
              <w:t>）</w:t>
            </w:r>
          </w:p>
        </w:tc>
        <w:tc>
          <w:tcPr>
            <w:tcW w:w="1086" w:type="dxa"/>
            <w:shd w:val="clear" w:color="auto" w:fill="auto"/>
            <w:vAlign w:val="center"/>
          </w:tcPr>
          <w:p>
            <w:pPr>
              <w:jc w:val="center"/>
              <w:rPr>
                <w:rFonts w:ascii="Times New Roman" w:hAnsi="Times New Roman"/>
                <w:b/>
                <w:color w:val="000000" w:themeColor="text1"/>
                <w:kern w:val="0"/>
                <w:szCs w:val="21"/>
              </w:rPr>
            </w:pPr>
            <w:r>
              <w:rPr>
                <w:rFonts w:ascii="Times New Roman" w:hAnsi="Times New Roman"/>
                <w:b/>
                <w:color w:val="000000" w:themeColor="text1"/>
                <w:spacing w:val="-2"/>
                <w:kern w:val="0"/>
                <w:szCs w:val="21"/>
              </w:rPr>
              <w:t>生产情况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机械零配件制造</w:t>
            </w: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1</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广东富华重工制造有限公司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838652</w:t>
            </w:r>
            <w:r>
              <w:rPr>
                <w:rFonts w:ascii="Times New Roman" w:hAnsi="Times New Roman"/>
                <w:color w:val="000000" w:themeColor="text1"/>
                <w:spacing w:val="-28"/>
                <w:kern w:val="0"/>
                <w:szCs w:val="21"/>
              </w:rPr>
              <w:t xml:space="preserve"> </w:t>
            </w:r>
            <w:r>
              <w:rPr>
                <w:rFonts w:ascii="Times New Roman" w:hAnsi="Times New Roman"/>
                <w:color w:val="000000" w:themeColor="text1"/>
                <w:spacing w:val="-4"/>
                <w:kern w:val="0"/>
                <w:szCs w:val="21"/>
              </w:rPr>
              <w:t>.45</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2</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台山市益新金属制品有限公司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15010</w:t>
            </w:r>
            <w:r>
              <w:rPr>
                <w:rFonts w:ascii="Times New Roman" w:hAnsi="Times New Roman"/>
                <w:color w:val="000000" w:themeColor="text1"/>
                <w:spacing w:val="-35"/>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45"/>
                <w:kern w:val="0"/>
                <w:szCs w:val="21"/>
              </w:rPr>
              <w:t xml:space="preserve"> </w:t>
            </w:r>
            <w:r>
              <w:rPr>
                <w:rFonts w:ascii="Times New Roman" w:hAnsi="Times New Roman"/>
                <w:color w:val="000000" w:themeColor="text1"/>
                <w:spacing w:val="-5"/>
                <w:kern w:val="0"/>
                <w:szCs w:val="21"/>
              </w:rPr>
              <w:t>7</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3</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台山市大成实业发展有限公司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6666</w:t>
            </w:r>
            <w:r>
              <w:rPr>
                <w:rFonts w:ascii="Times New Roman" w:hAnsi="Times New Roman"/>
                <w:color w:val="000000" w:themeColor="text1"/>
                <w:spacing w:val="-36"/>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43"/>
                <w:kern w:val="0"/>
                <w:szCs w:val="21"/>
              </w:rPr>
              <w:t xml:space="preserve"> </w:t>
            </w:r>
            <w:r>
              <w:rPr>
                <w:rFonts w:ascii="Times New Roman" w:hAnsi="Times New Roman"/>
                <w:color w:val="000000" w:themeColor="text1"/>
                <w:spacing w:val="-5"/>
                <w:kern w:val="0"/>
                <w:szCs w:val="21"/>
              </w:rPr>
              <w:t>67</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4</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广东航兴机械工程配件有限公司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10005</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5</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台山市领汇五金制品有限公司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14007</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6</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台山市雷克实业有限公司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13340</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7</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广东昌凯精工科技有限公司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6463</w:t>
            </w:r>
            <w:r>
              <w:rPr>
                <w:rFonts w:ascii="Times New Roman" w:hAnsi="Times New Roman"/>
                <w:color w:val="000000" w:themeColor="text1"/>
                <w:spacing w:val="-34"/>
                <w:kern w:val="0"/>
                <w:szCs w:val="21"/>
              </w:rPr>
              <w:t xml:space="preserve"> </w:t>
            </w:r>
            <w:r>
              <w:rPr>
                <w:rFonts w:ascii="Times New Roman" w:hAnsi="Times New Roman"/>
                <w:color w:val="000000" w:themeColor="text1"/>
                <w:spacing w:val="-4"/>
                <w:kern w:val="0"/>
                <w:szCs w:val="21"/>
              </w:rPr>
              <w:t>.23</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8</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台山贤广建材有限公司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16341</w:t>
            </w:r>
            <w:r>
              <w:rPr>
                <w:rFonts w:ascii="Times New Roman" w:hAnsi="Times New Roman"/>
                <w:color w:val="000000" w:themeColor="text1"/>
                <w:spacing w:val="-35"/>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42"/>
                <w:kern w:val="0"/>
                <w:szCs w:val="21"/>
              </w:rPr>
              <w:t xml:space="preserve"> </w:t>
            </w:r>
            <w:r>
              <w:rPr>
                <w:rFonts w:ascii="Times New Roman" w:hAnsi="Times New Roman"/>
                <w:color w:val="000000" w:themeColor="text1"/>
                <w:spacing w:val="-5"/>
                <w:kern w:val="0"/>
                <w:szCs w:val="21"/>
              </w:rPr>
              <w:t>5</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kern w:val="0"/>
                <w:szCs w:val="21"/>
              </w:rPr>
              <w:t>9</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广东创奥普机械有限公司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16008</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0"/>
                <w:kern w:val="0"/>
                <w:szCs w:val="21"/>
              </w:rPr>
              <w:t>10</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台山市南特金属科技有限公司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38619</w:t>
            </w:r>
            <w:r>
              <w:rPr>
                <w:rFonts w:ascii="Times New Roman" w:hAnsi="Times New Roman"/>
                <w:color w:val="000000" w:themeColor="text1"/>
                <w:spacing w:val="-33"/>
                <w:kern w:val="0"/>
                <w:szCs w:val="21"/>
              </w:rPr>
              <w:t xml:space="preserve"> </w:t>
            </w:r>
            <w:r>
              <w:rPr>
                <w:rFonts w:ascii="Times New Roman" w:hAnsi="Times New Roman"/>
                <w:color w:val="000000" w:themeColor="text1"/>
                <w:spacing w:val="-4"/>
                <w:kern w:val="0"/>
                <w:szCs w:val="21"/>
              </w:rPr>
              <w:t>.</w:t>
            </w:r>
            <w:r>
              <w:rPr>
                <w:rFonts w:ascii="Times New Roman" w:hAnsi="Times New Roman"/>
                <w:color w:val="000000" w:themeColor="text1"/>
                <w:spacing w:val="-44"/>
                <w:kern w:val="0"/>
                <w:szCs w:val="21"/>
              </w:rPr>
              <w:t xml:space="preserve"> </w:t>
            </w:r>
            <w:r>
              <w:rPr>
                <w:rFonts w:ascii="Times New Roman" w:hAnsi="Times New Roman"/>
                <w:color w:val="000000" w:themeColor="text1"/>
                <w:spacing w:val="-4"/>
                <w:kern w:val="0"/>
                <w:szCs w:val="21"/>
              </w:rPr>
              <w:t>3</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0"/>
                <w:kern w:val="0"/>
                <w:szCs w:val="21"/>
              </w:rPr>
              <w:t>11</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广东施捷美装饰金属有限公司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24318</w:t>
            </w:r>
            <w:r>
              <w:rPr>
                <w:rFonts w:ascii="Times New Roman" w:hAnsi="Times New Roman"/>
                <w:color w:val="000000" w:themeColor="text1"/>
                <w:spacing w:val="-30"/>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40"/>
                <w:kern w:val="0"/>
                <w:szCs w:val="21"/>
              </w:rPr>
              <w:t xml:space="preserve"> </w:t>
            </w:r>
            <w:r>
              <w:rPr>
                <w:rFonts w:ascii="Times New Roman" w:hAnsi="Times New Roman"/>
                <w:color w:val="000000" w:themeColor="text1"/>
                <w:spacing w:val="-5"/>
                <w:kern w:val="0"/>
                <w:szCs w:val="21"/>
              </w:rPr>
              <w:t>82</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0"/>
                <w:kern w:val="0"/>
                <w:szCs w:val="21"/>
              </w:rPr>
              <w:t>12</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台山市龙电门业科技有限公司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72036</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0"/>
                <w:kern w:val="0"/>
                <w:szCs w:val="21"/>
              </w:rPr>
              <w:t>13</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台山市天丞汽车配件有限公司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48691</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0"/>
                <w:kern w:val="0"/>
                <w:szCs w:val="21"/>
              </w:rPr>
              <w:t>14</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广东迪坦新能源设备有限公司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26013</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0"/>
                <w:kern w:val="0"/>
                <w:szCs w:val="21"/>
              </w:rPr>
              <w:t>15</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台山市中镁科技有限公司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116404</w:t>
            </w:r>
            <w:r>
              <w:rPr>
                <w:rFonts w:ascii="Times New Roman" w:hAnsi="Times New Roman"/>
                <w:color w:val="000000" w:themeColor="text1"/>
                <w:spacing w:val="-35"/>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39"/>
                <w:kern w:val="0"/>
                <w:szCs w:val="21"/>
              </w:rPr>
              <w:t xml:space="preserve"> </w:t>
            </w:r>
            <w:r>
              <w:rPr>
                <w:rFonts w:ascii="Times New Roman" w:hAnsi="Times New Roman"/>
                <w:color w:val="000000" w:themeColor="text1"/>
                <w:spacing w:val="-5"/>
                <w:kern w:val="0"/>
                <w:szCs w:val="21"/>
              </w:rPr>
              <w:t>84</w:t>
            </w:r>
          </w:p>
        </w:tc>
        <w:tc>
          <w:tcPr>
            <w:tcW w:w="1086" w:type="dxa"/>
            <w:shd w:val="clear" w:color="auto" w:fill="auto"/>
            <w:vAlign w:val="center"/>
          </w:tcPr>
          <w:p>
            <w:pPr>
              <w:jc w:val="center"/>
              <w:rPr>
                <w:rFonts w:ascii="Times New Roman" w:hAnsi="Times New Roman"/>
                <w:color w:val="000000" w:themeColor="text1"/>
                <w:kern w:val="0"/>
                <w:szCs w:val="21"/>
              </w:rPr>
            </w:pPr>
            <w:r>
              <w:rPr>
                <w:rFonts w:hint="eastAsia" w:ascii="Times New Roman" w:hAnsi="Times New Roman"/>
                <w:color w:val="000000" w:themeColor="text1"/>
                <w:spacing w:val="-5"/>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10"/>
                <w:kern w:val="0"/>
                <w:szCs w:val="21"/>
                <w:lang w:val="en-US" w:eastAsia="zh-CN"/>
              </w:rPr>
            </w:pPr>
            <w:r>
              <w:rPr>
                <w:rFonts w:hint="eastAsia" w:ascii="Times New Roman" w:hAnsi="Times New Roman"/>
                <w:color w:val="000000" w:themeColor="text1"/>
                <w:spacing w:val="-10"/>
                <w:kern w:val="0"/>
                <w:szCs w:val="21"/>
                <w:lang w:val="en-US" w:eastAsia="zh-CN"/>
              </w:rPr>
              <w:t>16</w:t>
            </w:r>
          </w:p>
        </w:tc>
        <w:tc>
          <w:tcPr>
            <w:tcW w:w="2847" w:type="dxa"/>
            <w:shd w:val="clear" w:color="auto" w:fill="auto"/>
            <w:vAlign w:val="center"/>
          </w:tcPr>
          <w:p>
            <w:pPr>
              <w:jc w:val="center"/>
              <w:rPr>
                <w:rFonts w:ascii="Times New Roman" w:hAnsi="Times New Roman"/>
                <w:color w:val="000000" w:themeColor="text1"/>
                <w:spacing w:val="-3"/>
                <w:kern w:val="0"/>
                <w:szCs w:val="21"/>
              </w:rPr>
            </w:pPr>
            <w:r>
              <w:rPr>
                <w:rFonts w:hint="eastAsia" w:ascii="Times New Roman" w:hAnsi="Times New Roman"/>
                <w:color w:val="000000" w:themeColor="text1"/>
                <w:spacing w:val="-3"/>
                <w:kern w:val="0"/>
                <w:szCs w:val="21"/>
              </w:rPr>
              <w:t>广东新达新金属材料科技有限公司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276800</w:t>
            </w:r>
          </w:p>
        </w:tc>
        <w:tc>
          <w:tcPr>
            <w:tcW w:w="1086" w:type="dxa"/>
            <w:shd w:val="clear" w:color="auto" w:fill="auto"/>
            <w:vAlign w:val="center"/>
          </w:tcPr>
          <w:p>
            <w:pPr>
              <w:jc w:val="center"/>
              <w:rPr>
                <w:rFonts w:hint="eastAsia"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10"/>
                <w:kern w:val="0"/>
                <w:szCs w:val="21"/>
                <w:lang w:val="en-US" w:eastAsia="zh-CN"/>
              </w:rPr>
            </w:pPr>
            <w:r>
              <w:rPr>
                <w:rFonts w:hint="eastAsia" w:ascii="Times New Roman" w:hAnsi="Times New Roman"/>
                <w:color w:val="000000" w:themeColor="text1"/>
                <w:spacing w:val="-10"/>
                <w:kern w:val="0"/>
                <w:szCs w:val="21"/>
                <w:lang w:val="en-US" w:eastAsia="zh-CN"/>
              </w:rPr>
              <w:t>17</w:t>
            </w:r>
          </w:p>
        </w:tc>
        <w:tc>
          <w:tcPr>
            <w:tcW w:w="2847" w:type="dxa"/>
            <w:shd w:val="clear" w:color="auto" w:fill="auto"/>
            <w:vAlign w:val="center"/>
          </w:tcPr>
          <w:p>
            <w:pPr>
              <w:jc w:val="center"/>
              <w:rPr>
                <w:rFonts w:hint="eastAsia" w:ascii="Times New Roman" w:hAnsi="Times New Roman"/>
                <w:color w:val="000000" w:themeColor="text1"/>
                <w:spacing w:val="-3"/>
                <w:kern w:val="0"/>
                <w:szCs w:val="21"/>
              </w:rPr>
            </w:pPr>
            <w:r>
              <w:rPr>
                <w:rFonts w:hint="eastAsia" w:ascii="Times New Roman" w:hAnsi="Times New Roman"/>
                <w:color w:val="000000" w:themeColor="text1"/>
                <w:spacing w:val="-3"/>
                <w:kern w:val="0"/>
                <w:szCs w:val="21"/>
              </w:rPr>
              <w:t>广东德旻五金制造有限公司</w:t>
            </w:r>
          </w:p>
        </w:tc>
        <w:tc>
          <w:tcPr>
            <w:tcW w:w="917"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2250</w:t>
            </w:r>
          </w:p>
        </w:tc>
        <w:tc>
          <w:tcPr>
            <w:tcW w:w="1086" w:type="dxa"/>
            <w:shd w:val="clear" w:color="auto" w:fill="auto"/>
            <w:vAlign w:val="center"/>
          </w:tcPr>
          <w:p>
            <w:pPr>
              <w:jc w:val="center"/>
              <w:rPr>
                <w:rFonts w:hint="eastAsia" w:ascii="Times New Roman" w:hAnsi="Times New Roman"/>
                <w:color w:val="000000" w:themeColor="text1"/>
                <w:spacing w:val="-5"/>
                <w:kern w:val="0"/>
                <w:szCs w:val="21"/>
                <w:lang w:val="en-US" w:eastAsia="zh-CN"/>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3"/>
                <w:kern w:val="0"/>
                <w:szCs w:val="21"/>
                <w:lang w:val="en-US" w:eastAsia="zh-CN"/>
              </w:rPr>
              <w:t>18</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广东中虎新能源动力有限公司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40420</w:t>
            </w:r>
            <w:r>
              <w:rPr>
                <w:rFonts w:ascii="Times New Roman" w:hAnsi="Times New Roman"/>
                <w:color w:val="000000" w:themeColor="text1"/>
                <w:spacing w:val="-35"/>
                <w:kern w:val="0"/>
                <w:szCs w:val="21"/>
              </w:rPr>
              <w:t xml:space="preserve"> </w:t>
            </w:r>
            <w:r>
              <w:rPr>
                <w:rFonts w:ascii="Times New Roman" w:hAnsi="Times New Roman"/>
                <w:color w:val="000000" w:themeColor="text1"/>
                <w:spacing w:val="-3"/>
                <w:kern w:val="0"/>
                <w:szCs w:val="21"/>
              </w:rPr>
              <w:t>.2</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电气机械和器材制造业</w:t>
            </w:r>
          </w:p>
        </w:tc>
        <w:tc>
          <w:tcPr>
            <w:tcW w:w="533" w:type="dxa"/>
            <w:shd w:val="clear" w:color="auto" w:fill="auto"/>
            <w:vAlign w:val="center"/>
          </w:tcPr>
          <w:p>
            <w:pPr>
              <w:jc w:val="center"/>
              <w:rPr>
                <w:rFonts w:hint="default" w:ascii="Times New Roman" w:hAnsi="Times New Roman" w:eastAsia="宋体"/>
                <w:color w:val="000000" w:themeColor="text1"/>
                <w:spacing w:val="-3"/>
                <w:kern w:val="0"/>
                <w:szCs w:val="21"/>
                <w:lang w:val="en-US" w:eastAsia="zh-CN"/>
              </w:rPr>
            </w:pPr>
            <w:r>
              <w:rPr>
                <w:rFonts w:hint="eastAsia" w:ascii="Times New Roman" w:hAnsi="Times New Roman"/>
                <w:color w:val="000000" w:themeColor="text1"/>
                <w:spacing w:val="-3"/>
                <w:kern w:val="0"/>
                <w:szCs w:val="21"/>
                <w:lang w:val="en-US" w:eastAsia="zh-CN"/>
              </w:rPr>
              <w:t>19</w:t>
            </w:r>
          </w:p>
        </w:tc>
        <w:tc>
          <w:tcPr>
            <w:tcW w:w="2847" w:type="dxa"/>
            <w:shd w:val="clear" w:color="auto" w:fill="auto"/>
            <w:vAlign w:val="center"/>
          </w:tcPr>
          <w:p>
            <w:pPr>
              <w:jc w:val="center"/>
              <w:rPr>
                <w:rFonts w:ascii="Times New Roman" w:hAnsi="Times New Roman"/>
                <w:color w:val="000000" w:themeColor="text1"/>
                <w:spacing w:val="-3"/>
                <w:kern w:val="0"/>
                <w:szCs w:val="21"/>
              </w:rPr>
            </w:pPr>
            <w:r>
              <w:rPr>
                <w:rFonts w:ascii="Times New Roman" w:hAnsi="Times New Roman"/>
                <w:color w:val="000000" w:themeColor="text1"/>
                <w:spacing w:val="-3"/>
                <w:kern w:val="0"/>
                <w:szCs w:val="21"/>
              </w:rPr>
              <w:t>台山市冠兴金属制品有限公司</w:t>
            </w:r>
          </w:p>
        </w:tc>
        <w:tc>
          <w:tcPr>
            <w:tcW w:w="917" w:type="dxa"/>
            <w:shd w:val="clear" w:color="auto" w:fill="auto"/>
            <w:vAlign w:val="center"/>
          </w:tcPr>
          <w:p>
            <w:pPr>
              <w:jc w:val="center"/>
              <w:rPr>
                <w:rFonts w:ascii="Times New Roman" w:hAnsi="Times New Roman"/>
                <w:color w:val="000000" w:themeColor="text1"/>
                <w:spacing w:val="-3"/>
                <w:kern w:val="0"/>
                <w:szCs w:val="21"/>
              </w:rPr>
            </w:pPr>
            <w:r>
              <w:rPr>
                <w:rFonts w:ascii="Times New Roman" w:hAnsi="Times New Roman"/>
                <w:color w:val="000000" w:themeColor="text1"/>
                <w:spacing w:val="-3"/>
                <w:kern w:val="0"/>
                <w:szCs w:val="21"/>
              </w:rPr>
              <w:t>南组团</w:t>
            </w:r>
          </w:p>
        </w:tc>
        <w:tc>
          <w:tcPr>
            <w:tcW w:w="1504" w:type="dxa"/>
            <w:shd w:val="clear" w:color="auto" w:fill="auto"/>
            <w:vAlign w:val="center"/>
          </w:tcPr>
          <w:p>
            <w:pPr>
              <w:jc w:val="center"/>
              <w:rPr>
                <w:rFonts w:ascii="Times New Roman" w:hAnsi="Times New Roman"/>
                <w:color w:val="000000" w:themeColor="text1"/>
                <w:spacing w:val="-3"/>
                <w:kern w:val="0"/>
                <w:szCs w:val="21"/>
              </w:rPr>
            </w:pPr>
            <w:r>
              <w:rPr>
                <w:rFonts w:ascii="Times New Roman" w:hAnsi="Times New Roman"/>
                <w:color w:val="000000" w:themeColor="text1"/>
                <w:spacing w:val="-3"/>
                <w:kern w:val="0"/>
                <w:szCs w:val="21"/>
              </w:rPr>
              <w:t>171218 .9</w:t>
            </w:r>
          </w:p>
        </w:tc>
        <w:tc>
          <w:tcPr>
            <w:tcW w:w="1086" w:type="dxa"/>
            <w:shd w:val="clear" w:color="auto" w:fill="auto"/>
            <w:vAlign w:val="center"/>
          </w:tcPr>
          <w:p>
            <w:pPr>
              <w:jc w:val="center"/>
              <w:rPr>
                <w:rFonts w:ascii="Times New Roman" w:hAnsi="Times New Roman"/>
                <w:color w:val="000000" w:themeColor="text1"/>
                <w:spacing w:val="-3"/>
                <w:kern w:val="0"/>
                <w:szCs w:val="21"/>
              </w:rPr>
            </w:pPr>
            <w:r>
              <w:rPr>
                <w:rFonts w:ascii="Times New Roman" w:hAnsi="Times New Roman"/>
                <w:color w:val="000000" w:themeColor="text1"/>
                <w:spacing w:val="-3"/>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3"/>
                <w:kern w:val="0"/>
                <w:szCs w:val="21"/>
                <w:lang w:val="en-US" w:eastAsia="zh-CN"/>
              </w:rPr>
              <w:t>20</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广东家乐仕电器有限公司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40020</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3"/>
                <w:kern w:val="0"/>
                <w:szCs w:val="21"/>
                <w:lang w:val="en-US" w:eastAsia="zh-CN"/>
              </w:rPr>
              <w:t>21</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广东炜创电气有限公司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13340</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3"/>
                <w:kern w:val="0"/>
                <w:szCs w:val="21"/>
                <w:lang w:val="en-US" w:eastAsia="zh-CN"/>
              </w:rPr>
              <w:t>22</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台山市捷</w:t>
            </w:r>
            <w:r>
              <w:rPr>
                <w:rFonts w:hint="eastAsia" w:ascii="Times New Roman" w:hAnsi="Times New Roman"/>
                <w:color w:val="000000" w:themeColor="text1"/>
                <w:spacing w:val="-3"/>
                <w:kern w:val="0"/>
                <w:szCs w:val="21"/>
                <w:lang w:val="en-US" w:eastAsia="zh-CN"/>
              </w:rPr>
              <w:t>威电器</w:t>
            </w:r>
            <w:r>
              <w:rPr>
                <w:rFonts w:ascii="Times New Roman" w:hAnsi="Times New Roman"/>
                <w:color w:val="000000" w:themeColor="text1"/>
                <w:spacing w:val="-3"/>
                <w:kern w:val="0"/>
                <w:szCs w:val="21"/>
              </w:rPr>
              <w:t>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45356</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3"/>
                <w:kern w:val="0"/>
                <w:szCs w:val="21"/>
                <w:lang w:val="en-US" w:eastAsia="zh-CN"/>
              </w:rPr>
              <w:t>23</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台山松川电器科技有限公司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58549</w:t>
            </w:r>
            <w:r>
              <w:rPr>
                <w:rFonts w:ascii="Times New Roman" w:hAnsi="Times New Roman"/>
                <w:color w:val="000000" w:themeColor="text1"/>
                <w:spacing w:val="-31"/>
                <w:kern w:val="0"/>
                <w:szCs w:val="21"/>
              </w:rPr>
              <w:t xml:space="preserve"> </w:t>
            </w:r>
            <w:r>
              <w:rPr>
                <w:rFonts w:ascii="Times New Roman" w:hAnsi="Times New Roman"/>
                <w:color w:val="000000" w:themeColor="text1"/>
                <w:spacing w:val="-4"/>
                <w:kern w:val="0"/>
                <w:szCs w:val="21"/>
              </w:rPr>
              <w:t>.26</w:t>
            </w:r>
          </w:p>
        </w:tc>
        <w:tc>
          <w:tcPr>
            <w:tcW w:w="1086" w:type="dxa"/>
            <w:shd w:val="clear" w:color="auto" w:fill="auto"/>
            <w:vAlign w:val="center"/>
          </w:tcPr>
          <w:p>
            <w:pPr>
              <w:jc w:val="center"/>
              <w:rPr>
                <w:rFonts w:ascii="Times New Roman" w:hAnsi="Times New Roman"/>
                <w:color w:val="000000" w:themeColor="text1"/>
                <w:kern w:val="0"/>
                <w:szCs w:val="21"/>
              </w:rPr>
            </w:pPr>
            <w:r>
              <w:rPr>
                <w:rFonts w:hint="eastAsia" w:ascii="Times New Roman" w:hAnsi="Times New Roman"/>
                <w:color w:val="000000" w:themeColor="text1"/>
                <w:spacing w:val="-5"/>
                <w:kern w:val="0"/>
                <w:szCs w:val="21"/>
              </w:rPr>
              <w:t>正常</w:t>
            </w:r>
            <w:r>
              <w:rPr>
                <w:rFonts w:ascii="Times New Roman" w:hAnsi="Times New Roman"/>
                <w:color w:val="000000" w:themeColor="text1"/>
                <w:spacing w:val="-5"/>
                <w:kern w:val="0"/>
                <w:szCs w:val="21"/>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3"/>
                <w:kern w:val="0"/>
                <w:szCs w:val="21"/>
                <w:lang w:val="en-US" w:eastAsia="zh-CN"/>
              </w:rPr>
            </w:pPr>
            <w:r>
              <w:rPr>
                <w:rFonts w:hint="eastAsia" w:ascii="Times New Roman" w:hAnsi="Times New Roman"/>
                <w:color w:val="000000" w:themeColor="text1"/>
                <w:spacing w:val="-3"/>
                <w:kern w:val="0"/>
                <w:szCs w:val="21"/>
                <w:lang w:val="en-US" w:eastAsia="zh-CN"/>
              </w:rPr>
              <w:t>24</w:t>
            </w:r>
          </w:p>
        </w:tc>
        <w:tc>
          <w:tcPr>
            <w:tcW w:w="2847" w:type="dxa"/>
            <w:shd w:val="clear" w:color="auto" w:fill="auto"/>
            <w:vAlign w:val="center"/>
          </w:tcPr>
          <w:p>
            <w:pPr>
              <w:jc w:val="center"/>
              <w:rPr>
                <w:rFonts w:ascii="Times New Roman" w:hAnsi="Times New Roman"/>
                <w:color w:val="000000" w:themeColor="text1"/>
                <w:spacing w:val="-3"/>
                <w:kern w:val="0"/>
                <w:szCs w:val="21"/>
              </w:rPr>
            </w:pPr>
            <w:r>
              <w:rPr>
                <w:rFonts w:hint="eastAsia" w:ascii="Times New Roman" w:hAnsi="Times New Roman"/>
                <w:color w:val="000000" w:themeColor="text1"/>
                <w:spacing w:val="-3"/>
                <w:kern w:val="0"/>
                <w:szCs w:val="21"/>
              </w:rPr>
              <w:t>广东名肯科技有限公司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2350.62</w:t>
            </w:r>
          </w:p>
        </w:tc>
        <w:tc>
          <w:tcPr>
            <w:tcW w:w="1086" w:type="dxa"/>
            <w:shd w:val="clear" w:color="auto" w:fill="auto"/>
            <w:vAlign w:val="center"/>
          </w:tcPr>
          <w:p>
            <w:pPr>
              <w:jc w:val="center"/>
              <w:rPr>
                <w:rFonts w:hint="eastAsia" w:ascii="Times New Roman" w:hAnsi="Times New Roman"/>
                <w:color w:val="000000" w:themeColor="text1"/>
                <w:spacing w:val="-5"/>
                <w:kern w:val="0"/>
                <w:szCs w:val="21"/>
              </w:rPr>
            </w:pPr>
            <w:r>
              <w:rPr>
                <w:rFonts w:hint="eastAsia" w:ascii="Times New Roman" w:hAnsi="Times New Roman"/>
                <w:color w:val="000000" w:themeColor="text1"/>
                <w:spacing w:val="-5"/>
                <w:kern w:val="0"/>
                <w:szCs w:val="21"/>
              </w:rPr>
              <w:t>正常</w:t>
            </w:r>
            <w:r>
              <w:rPr>
                <w:rFonts w:ascii="Times New Roman" w:hAnsi="Times New Roman"/>
                <w:color w:val="000000" w:themeColor="text1"/>
                <w:spacing w:val="-5"/>
                <w:kern w:val="0"/>
                <w:szCs w:val="21"/>
              </w:rPr>
              <w:t>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3"/>
                <w:kern w:val="0"/>
                <w:szCs w:val="21"/>
                <w:lang w:val="en-US" w:eastAsia="zh-CN"/>
              </w:rPr>
            </w:pPr>
            <w:r>
              <w:rPr>
                <w:rFonts w:hint="eastAsia" w:ascii="Times New Roman" w:hAnsi="Times New Roman"/>
                <w:color w:val="000000" w:themeColor="text1"/>
                <w:spacing w:val="-3"/>
                <w:kern w:val="0"/>
                <w:szCs w:val="21"/>
                <w:lang w:val="en-US" w:eastAsia="zh-CN"/>
              </w:rPr>
              <w:t>25</w:t>
            </w:r>
          </w:p>
        </w:tc>
        <w:tc>
          <w:tcPr>
            <w:tcW w:w="2847" w:type="dxa"/>
            <w:shd w:val="clear" w:color="auto" w:fill="auto"/>
            <w:vAlign w:val="center"/>
          </w:tcPr>
          <w:p>
            <w:pPr>
              <w:jc w:val="center"/>
              <w:rPr>
                <w:rFonts w:ascii="Times New Roman" w:hAnsi="Times New Roman"/>
                <w:color w:val="000000" w:themeColor="text1"/>
                <w:spacing w:val="-3"/>
                <w:kern w:val="0"/>
                <w:szCs w:val="21"/>
              </w:rPr>
            </w:pPr>
            <w:r>
              <w:rPr>
                <w:rFonts w:hint="eastAsia" w:ascii="Times New Roman" w:hAnsi="Times New Roman"/>
                <w:color w:val="000000" w:themeColor="text1"/>
                <w:spacing w:val="-3"/>
                <w:kern w:val="0"/>
                <w:szCs w:val="21"/>
              </w:rPr>
              <w:t>广东依恳丰热能设备有限公司</w:t>
            </w:r>
          </w:p>
        </w:tc>
        <w:tc>
          <w:tcPr>
            <w:tcW w:w="917" w:type="dxa"/>
            <w:shd w:val="clear" w:color="auto" w:fill="auto"/>
            <w:vAlign w:val="center"/>
          </w:tcPr>
          <w:p>
            <w:pPr>
              <w:jc w:val="center"/>
              <w:rPr>
                <w:rFonts w:hint="eastAsia"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南组团</w:t>
            </w:r>
          </w:p>
        </w:tc>
        <w:tc>
          <w:tcPr>
            <w:tcW w:w="1504" w:type="dxa"/>
            <w:shd w:val="clear" w:color="auto" w:fill="auto"/>
            <w:vAlign w:val="center"/>
          </w:tcPr>
          <w:p>
            <w:pPr>
              <w:jc w:val="center"/>
              <w:rPr>
                <w:rFonts w:hint="default"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11562</w:t>
            </w:r>
          </w:p>
        </w:tc>
        <w:tc>
          <w:tcPr>
            <w:tcW w:w="1086" w:type="dxa"/>
            <w:shd w:val="clear" w:color="auto" w:fill="auto"/>
            <w:vAlign w:val="center"/>
          </w:tcPr>
          <w:p>
            <w:pPr>
              <w:jc w:val="center"/>
              <w:rPr>
                <w:rFonts w:hint="eastAsia"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电子设备制造业</w:t>
            </w: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3"/>
                <w:kern w:val="0"/>
                <w:szCs w:val="21"/>
                <w:lang w:val="en-US" w:eastAsia="zh-CN"/>
              </w:rPr>
              <w:t>26</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广东泰奇克光电科技有限公司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20010</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ascii="Times New Roman" w:hAnsi="Times New Roman" w:eastAsia="Times New Roman" w:cs="Arial"/>
                <w:color w:val="000000" w:themeColor="text1"/>
                <w:spacing w:val="-5"/>
                <w:kern w:val="0"/>
                <w:szCs w:val="21"/>
              </w:rPr>
            </w:pPr>
          </w:p>
        </w:tc>
        <w:tc>
          <w:tcPr>
            <w:tcW w:w="533" w:type="dxa"/>
            <w:shd w:val="clear" w:color="auto" w:fill="auto"/>
            <w:vAlign w:val="center"/>
          </w:tcPr>
          <w:p>
            <w:pPr>
              <w:jc w:val="center"/>
              <w:rPr>
                <w:rFonts w:hint="default" w:ascii="Times New Roman" w:hAnsi="Times New Roman" w:eastAsia="宋体" w:cs="Arial"/>
                <w:color w:val="000000" w:themeColor="text1"/>
                <w:spacing w:val="-3"/>
                <w:kern w:val="0"/>
                <w:szCs w:val="21"/>
                <w:lang w:val="en-US" w:eastAsia="zh-CN"/>
              </w:rPr>
            </w:pPr>
            <w:r>
              <w:rPr>
                <w:rFonts w:hint="eastAsia" w:ascii="Times New Roman" w:hAnsi="Times New Roman"/>
                <w:color w:val="000000" w:themeColor="text1"/>
                <w:spacing w:val="-3"/>
                <w:kern w:val="0"/>
                <w:szCs w:val="21"/>
                <w:lang w:val="en-US" w:eastAsia="zh-CN"/>
              </w:rPr>
              <w:t>27</w:t>
            </w:r>
          </w:p>
        </w:tc>
        <w:tc>
          <w:tcPr>
            <w:tcW w:w="2847" w:type="dxa"/>
            <w:shd w:val="clear" w:color="auto" w:fill="auto"/>
            <w:vAlign w:val="center"/>
          </w:tcPr>
          <w:p>
            <w:pPr>
              <w:jc w:val="center"/>
              <w:rPr>
                <w:rFonts w:ascii="Times New Roman" w:hAnsi="Times New Roman" w:eastAsia="Times New Roman" w:cs="Arial"/>
                <w:color w:val="000000" w:themeColor="text1"/>
                <w:spacing w:val="-1"/>
                <w:kern w:val="0"/>
                <w:szCs w:val="21"/>
              </w:rPr>
            </w:pPr>
            <w:r>
              <w:rPr>
                <w:rFonts w:hint="eastAsia" w:ascii="宋体" w:hAnsi="宋体" w:cs="宋体"/>
                <w:color w:val="000000" w:themeColor="text1"/>
                <w:spacing w:val="-1"/>
                <w:kern w:val="0"/>
                <w:szCs w:val="21"/>
              </w:rPr>
              <w:t>广东明聚新材料科技有限公司</w:t>
            </w:r>
          </w:p>
        </w:tc>
        <w:tc>
          <w:tcPr>
            <w:tcW w:w="917" w:type="dxa"/>
            <w:shd w:val="clear" w:color="auto" w:fill="auto"/>
            <w:vAlign w:val="center"/>
          </w:tcPr>
          <w:p>
            <w:pPr>
              <w:jc w:val="center"/>
              <w:rPr>
                <w:rFonts w:ascii="Times New Roman" w:hAnsi="Times New Roman" w:cs="Arial"/>
                <w:color w:val="000000" w:themeColor="text1"/>
                <w:spacing w:val="-4"/>
                <w:kern w:val="0"/>
                <w:szCs w:val="21"/>
              </w:rPr>
            </w:pPr>
            <w:r>
              <w:rPr>
                <w:rFonts w:hint="eastAsia" w:ascii="Times New Roman" w:hAnsi="Times New Roman" w:cs="Arial"/>
                <w:color w:val="000000" w:themeColor="text1"/>
                <w:spacing w:val="-4"/>
                <w:kern w:val="0"/>
                <w:szCs w:val="21"/>
              </w:rPr>
              <w:t>北组团</w:t>
            </w:r>
          </w:p>
        </w:tc>
        <w:tc>
          <w:tcPr>
            <w:tcW w:w="1504" w:type="dxa"/>
            <w:shd w:val="clear" w:color="auto" w:fill="auto"/>
            <w:vAlign w:val="center"/>
          </w:tcPr>
          <w:p>
            <w:pPr>
              <w:jc w:val="center"/>
              <w:rPr>
                <w:rFonts w:ascii="Times New Roman" w:hAnsi="Times New Roman" w:cs="Arial"/>
                <w:color w:val="000000" w:themeColor="text1"/>
                <w:spacing w:val="-1"/>
                <w:kern w:val="0"/>
                <w:szCs w:val="21"/>
              </w:rPr>
            </w:pPr>
            <w:r>
              <w:rPr>
                <w:rFonts w:hint="eastAsia" w:ascii="Times New Roman" w:hAnsi="Times New Roman" w:cs="Arial"/>
                <w:color w:val="000000" w:themeColor="text1"/>
                <w:spacing w:val="-1"/>
                <w:kern w:val="0"/>
                <w:szCs w:val="21"/>
              </w:rPr>
              <w:t>1175</w:t>
            </w:r>
          </w:p>
        </w:tc>
        <w:tc>
          <w:tcPr>
            <w:tcW w:w="1086" w:type="dxa"/>
            <w:shd w:val="clear" w:color="auto" w:fill="auto"/>
            <w:vAlign w:val="center"/>
          </w:tcPr>
          <w:p>
            <w:pPr>
              <w:jc w:val="center"/>
              <w:rPr>
                <w:rFonts w:ascii="Times New Roman" w:hAnsi="Times New Roman" w:cs="Arial"/>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ascii="Times New Roman" w:hAnsi="Times New Roman" w:eastAsia="Times New Roman" w:cs="Arial"/>
                <w:color w:val="000000" w:themeColor="text1"/>
                <w:spacing w:val="-5"/>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3"/>
                <w:kern w:val="0"/>
                <w:szCs w:val="21"/>
                <w:lang w:val="en-US" w:eastAsia="zh-CN"/>
              </w:rPr>
            </w:pPr>
            <w:r>
              <w:rPr>
                <w:rFonts w:hint="eastAsia" w:ascii="Times New Roman" w:hAnsi="Times New Roman"/>
                <w:color w:val="000000" w:themeColor="text1"/>
                <w:spacing w:val="-3"/>
                <w:kern w:val="0"/>
                <w:szCs w:val="21"/>
                <w:lang w:val="en-US" w:eastAsia="zh-CN"/>
              </w:rPr>
              <w:t>28</w:t>
            </w:r>
          </w:p>
        </w:tc>
        <w:tc>
          <w:tcPr>
            <w:tcW w:w="2847" w:type="dxa"/>
            <w:shd w:val="clear" w:color="auto" w:fill="auto"/>
            <w:vAlign w:val="center"/>
          </w:tcPr>
          <w:p>
            <w:pPr>
              <w:jc w:val="center"/>
              <w:rPr>
                <w:rFonts w:hint="eastAsia" w:ascii="宋体" w:hAnsi="宋体" w:cs="宋体"/>
                <w:color w:val="000000" w:themeColor="text1"/>
                <w:spacing w:val="-1"/>
                <w:kern w:val="0"/>
                <w:szCs w:val="21"/>
              </w:rPr>
            </w:pPr>
            <w:r>
              <w:rPr>
                <w:rFonts w:hint="eastAsia" w:ascii="宋体" w:hAnsi="宋体" w:cs="宋体"/>
                <w:color w:val="000000" w:themeColor="text1"/>
                <w:spacing w:val="-1"/>
                <w:kern w:val="0"/>
                <w:szCs w:val="21"/>
              </w:rPr>
              <w:t>广东捷先智能制造有限公司</w:t>
            </w:r>
          </w:p>
        </w:tc>
        <w:tc>
          <w:tcPr>
            <w:tcW w:w="917" w:type="dxa"/>
            <w:shd w:val="clear" w:color="auto" w:fill="auto"/>
            <w:vAlign w:val="center"/>
          </w:tcPr>
          <w:p>
            <w:pPr>
              <w:jc w:val="center"/>
              <w:rPr>
                <w:rFonts w:hint="eastAsia" w:ascii="Times New Roman" w:hAnsi="Times New Roman" w:eastAsia="宋体" w:cs="Arial"/>
                <w:color w:val="000000" w:themeColor="text1"/>
                <w:spacing w:val="-4"/>
                <w:kern w:val="0"/>
                <w:szCs w:val="21"/>
                <w:lang w:val="en-US" w:eastAsia="zh-CN"/>
              </w:rPr>
            </w:pPr>
            <w:r>
              <w:rPr>
                <w:rFonts w:hint="eastAsia" w:ascii="Times New Roman" w:hAnsi="Times New Roman" w:cs="Arial"/>
                <w:color w:val="000000" w:themeColor="text1"/>
                <w:spacing w:val="-4"/>
                <w:kern w:val="0"/>
                <w:szCs w:val="21"/>
                <w:lang w:val="en-US" w:eastAsia="zh-CN"/>
              </w:rPr>
              <w:t>南组团</w:t>
            </w:r>
          </w:p>
        </w:tc>
        <w:tc>
          <w:tcPr>
            <w:tcW w:w="1504" w:type="dxa"/>
            <w:shd w:val="clear" w:color="auto" w:fill="auto"/>
            <w:vAlign w:val="center"/>
          </w:tcPr>
          <w:p>
            <w:pPr>
              <w:jc w:val="center"/>
              <w:rPr>
                <w:rFonts w:hint="default" w:ascii="Times New Roman" w:hAnsi="Times New Roman" w:eastAsia="宋体" w:cs="Arial"/>
                <w:color w:val="000000" w:themeColor="text1"/>
                <w:spacing w:val="-1"/>
                <w:kern w:val="0"/>
                <w:szCs w:val="21"/>
                <w:lang w:val="en-US" w:eastAsia="zh-CN"/>
              </w:rPr>
            </w:pPr>
            <w:r>
              <w:rPr>
                <w:rFonts w:hint="eastAsia" w:ascii="Times New Roman" w:hAnsi="Times New Roman" w:cs="Arial"/>
                <w:color w:val="000000" w:themeColor="text1"/>
                <w:spacing w:val="-1"/>
                <w:kern w:val="0"/>
                <w:szCs w:val="21"/>
                <w:lang w:val="en-US" w:eastAsia="zh-CN"/>
              </w:rPr>
              <w:t>11856</w:t>
            </w:r>
          </w:p>
        </w:tc>
        <w:tc>
          <w:tcPr>
            <w:tcW w:w="1086" w:type="dxa"/>
            <w:shd w:val="clear" w:color="auto" w:fill="auto"/>
            <w:vAlign w:val="center"/>
          </w:tcPr>
          <w:p>
            <w:pPr>
              <w:jc w:val="center"/>
              <w:rPr>
                <w:rFonts w:hint="eastAsia" w:ascii="Times New Roman" w:hAnsi="Times New Roman" w:cs="Arial"/>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新材料制造</w:t>
            </w: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29</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台山市富通达软包装材料科技有限</w:t>
            </w:r>
            <w:r>
              <w:rPr>
                <w:rFonts w:ascii="Times New Roman" w:hAnsi="Times New Roman"/>
                <w:color w:val="000000" w:themeColor="text1"/>
                <w:spacing w:val="-8"/>
                <w:kern w:val="0"/>
                <w:szCs w:val="21"/>
              </w:rPr>
              <w:t>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104979</w:t>
            </w:r>
            <w:r>
              <w:rPr>
                <w:rFonts w:ascii="Times New Roman" w:hAnsi="Times New Roman"/>
                <w:color w:val="000000" w:themeColor="text1"/>
                <w:spacing w:val="-29"/>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28"/>
                <w:kern w:val="0"/>
                <w:szCs w:val="21"/>
              </w:rPr>
              <w:t xml:space="preserve"> </w:t>
            </w:r>
            <w:r>
              <w:rPr>
                <w:rFonts w:ascii="Times New Roman" w:hAnsi="Times New Roman"/>
                <w:color w:val="000000" w:themeColor="text1"/>
                <w:spacing w:val="-5"/>
                <w:kern w:val="0"/>
                <w:szCs w:val="21"/>
              </w:rPr>
              <w:t>13</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30</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新图美（台山）标签材料有限公司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76705</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31</w:t>
            </w:r>
          </w:p>
        </w:tc>
        <w:tc>
          <w:tcPr>
            <w:tcW w:w="2847" w:type="dxa"/>
            <w:shd w:val="clear" w:color="auto" w:fill="auto"/>
            <w:vAlign w:val="center"/>
          </w:tcPr>
          <w:p>
            <w:pPr>
              <w:jc w:val="center"/>
              <w:rPr>
                <w:rFonts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台山市晟丰印刷塑料制品有限公司</w:t>
            </w:r>
          </w:p>
        </w:tc>
        <w:tc>
          <w:tcPr>
            <w:tcW w:w="917" w:type="dxa"/>
            <w:shd w:val="clear" w:color="auto" w:fill="auto"/>
            <w:vAlign w:val="center"/>
          </w:tcPr>
          <w:p>
            <w:pPr>
              <w:jc w:val="center"/>
              <w:rPr>
                <w:rFonts w:hint="eastAsia"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南组团</w:t>
            </w:r>
          </w:p>
        </w:tc>
        <w:tc>
          <w:tcPr>
            <w:tcW w:w="1504" w:type="dxa"/>
            <w:shd w:val="clear" w:color="auto" w:fill="auto"/>
            <w:vAlign w:val="center"/>
          </w:tcPr>
          <w:p>
            <w:pPr>
              <w:jc w:val="center"/>
              <w:rPr>
                <w:rFonts w:hint="default" w:ascii="Times New Roman" w:hAnsi="Times New Roman" w:eastAsia="宋体"/>
                <w:color w:val="000000" w:themeColor="text1"/>
                <w:spacing w:val="-2"/>
                <w:kern w:val="0"/>
                <w:szCs w:val="21"/>
                <w:lang w:val="en-US" w:eastAsia="zh-CN"/>
              </w:rPr>
            </w:pPr>
            <w:r>
              <w:rPr>
                <w:rFonts w:hint="eastAsia" w:ascii="Times New Roman" w:hAnsi="Times New Roman"/>
                <w:color w:val="000000" w:themeColor="text1"/>
                <w:spacing w:val="-2"/>
                <w:kern w:val="0"/>
                <w:szCs w:val="21"/>
                <w:lang w:val="en-US" w:eastAsia="zh-CN"/>
              </w:rPr>
              <w:t>3466</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32</w:t>
            </w:r>
          </w:p>
        </w:tc>
        <w:tc>
          <w:tcPr>
            <w:tcW w:w="2847" w:type="dxa"/>
            <w:shd w:val="clear" w:color="auto" w:fill="auto"/>
            <w:vAlign w:val="center"/>
          </w:tcPr>
          <w:p>
            <w:pPr>
              <w:jc w:val="center"/>
              <w:rPr>
                <w:rFonts w:hint="eastAsia"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爱子优旺新材料有限公司</w:t>
            </w:r>
          </w:p>
        </w:tc>
        <w:tc>
          <w:tcPr>
            <w:tcW w:w="917" w:type="dxa"/>
            <w:shd w:val="clear" w:color="auto" w:fill="auto"/>
            <w:vAlign w:val="center"/>
          </w:tcPr>
          <w:p>
            <w:pPr>
              <w:jc w:val="center"/>
              <w:rPr>
                <w:rFonts w:hint="eastAsia" w:ascii="Times New Roman" w:hAnsi="Times New Roman"/>
                <w:color w:val="000000" w:themeColor="text1"/>
                <w:spacing w:val="-5"/>
                <w:kern w:val="0"/>
                <w:szCs w:val="21"/>
                <w:lang w:val="en-US" w:eastAsia="zh-CN"/>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2"/>
                <w:kern w:val="0"/>
                <w:szCs w:val="21"/>
                <w:lang w:val="en-US" w:eastAsia="zh-CN"/>
              </w:rPr>
            </w:pPr>
            <w:r>
              <w:rPr>
                <w:rFonts w:hint="eastAsia" w:ascii="Times New Roman" w:hAnsi="Times New Roman"/>
                <w:color w:val="000000" w:themeColor="text1"/>
                <w:spacing w:val="-2"/>
                <w:kern w:val="0"/>
                <w:szCs w:val="21"/>
                <w:lang w:val="en-US" w:eastAsia="zh-CN"/>
              </w:rPr>
              <w:t>2997.58</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33</w:t>
            </w:r>
          </w:p>
        </w:tc>
        <w:tc>
          <w:tcPr>
            <w:tcW w:w="2847" w:type="dxa"/>
            <w:shd w:val="clear" w:color="auto" w:fill="auto"/>
            <w:vAlign w:val="center"/>
          </w:tcPr>
          <w:p>
            <w:pPr>
              <w:jc w:val="center"/>
              <w:rPr>
                <w:rFonts w:hint="eastAsia"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广东朴薪材料科技有限公司</w:t>
            </w:r>
          </w:p>
        </w:tc>
        <w:tc>
          <w:tcPr>
            <w:tcW w:w="917" w:type="dxa"/>
            <w:shd w:val="clear" w:color="auto" w:fill="auto"/>
            <w:vAlign w:val="center"/>
          </w:tcPr>
          <w:p>
            <w:pPr>
              <w:jc w:val="center"/>
              <w:rPr>
                <w:rFonts w:hint="eastAsia" w:ascii="Times New Roman" w:hAnsi="Times New Roman"/>
                <w:color w:val="000000" w:themeColor="text1"/>
                <w:spacing w:val="-5"/>
                <w:kern w:val="0"/>
                <w:szCs w:val="21"/>
                <w:lang w:val="en-US" w:eastAsia="zh-CN"/>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2"/>
                <w:kern w:val="0"/>
                <w:szCs w:val="21"/>
                <w:lang w:val="en-US" w:eastAsia="zh-CN"/>
              </w:rPr>
            </w:pPr>
            <w:r>
              <w:rPr>
                <w:rFonts w:hint="eastAsia" w:ascii="Times New Roman" w:hAnsi="Times New Roman"/>
                <w:color w:val="000000" w:themeColor="text1"/>
                <w:spacing w:val="-2"/>
                <w:kern w:val="0"/>
                <w:szCs w:val="21"/>
                <w:lang w:val="en-US" w:eastAsia="zh-CN"/>
              </w:rPr>
              <w:t>2896</w:t>
            </w:r>
          </w:p>
        </w:tc>
        <w:tc>
          <w:tcPr>
            <w:tcW w:w="1086" w:type="dxa"/>
            <w:shd w:val="clear" w:color="auto" w:fill="auto"/>
            <w:vAlign w:val="center"/>
          </w:tcPr>
          <w:p>
            <w:pPr>
              <w:jc w:val="center"/>
              <w:rPr>
                <w:rFonts w:hint="eastAsia"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34</w:t>
            </w:r>
          </w:p>
        </w:tc>
        <w:tc>
          <w:tcPr>
            <w:tcW w:w="2847" w:type="dxa"/>
            <w:shd w:val="clear" w:color="auto" w:fill="auto"/>
            <w:vAlign w:val="center"/>
          </w:tcPr>
          <w:p>
            <w:pPr>
              <w:jc w:val="center"/>
              <w:rPr>
                <w:rFonts w:hint="eastAsia"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江门市鑫兰港新材料科技有限公司</w:t>
            </w:r>
          </w:p>
        </w:tc>
        <w:tc>
          <w:tcPr>
            <w:tcW w:w="917" w:type="dxa"/>
            <w:shd w:val="clear" w:color="auto" w:fill="auto"/>
            <w:vAlign w:val="center"/>
          </w:tcPr>
          <w:p>
            <w:pPr>
              <w:jc w:val="center"/>
              <w:rPr>
                <w:rFonts w:hint="eastAsia" w:ascii="Times New Roman" w:hAnsi="Times New Roman"/>
                <w:color w:val="000000" w:themeColor="text1"/>
                <w:spacing w:val="-5"/>
                <w:kern w:val="0"/>
                <w:szCs w:val="21"/>
                <w:lang w:val="en-US" w:eastAsia="zh-CN"/>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2"/>
                <w:kern w:val="0"/>
                <w:szCs w:val="21"/>
                <w:lang w:val="en-US" w:eastAsia="zh-CN"/>
              </w:rPr>
            </w:pPr>
            <w:r>
              <w:rPr>
                <w:rFonts w:hint="eastAsia" w:ascii="Times New Roman" w:hAnsi="Times New Roman"/>
                <w:color w:val="000000" w:themeColor="text1"/>
                <w:spacing w:val="-2"/>
                <w:kern w:val="0"/>
                <w:szCs w:val="21"/>
                <w:lang w:val="en-US" w:eastAsia="zh-CN"/>
              </w:rPr>
              <w:t>2893</w:t>
            </w:r>
          </w:p>
        </w:tc>
        <w:tc>
          <w:tcPr>
            <w:tcW w:w="1086" w:type="dxa"/>
            <w:shd w:val="clear" w:color="auto" w:fill="auto"/>
            <w:vAlign w:val="center"/>
          </w:tcPr>
          <w:p>
            <w:pPr>
              <w:jc w:val="center"/>
              <w:rPr>
                <w:rFonts w:hint="eastAsia"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35</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广东富安鸿利新材料有限公司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50025</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36</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广东保昌新材料有限公司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27200</w:t>
            </w:r>
            <w:r>
              <w:rPr>
                <w:rFonts w:ascii="Times New Roman" w:hAnsi="Times New Roman"/>
                <w:color w:val="000000" w:themeColor="text1"/>
                <w:spacing w:val="-33"/>
                <w:kern w:val="0"/>
                <w:szCs w:val="21"/>
              </w:rPr>
              <w:t xml:space="preserve"> </w:t>
            </w:r>
            <w:r>
              <w:rPr>
                <w:rFonts w:ascii="Times New Roman" w:hAnsi="Times New Roman"/>
                <w:color w:val="000000" w:themeColor="text1"/>
                <w:spacing w:val="-3"/>
                <w:kern w:val="0"/>
                <w:szCs w:val="21"/>
              </w:rPr>
              <w:t>.26</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非金属矿物制品业</w:t>
            </w: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37</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台山市丰博环保科技有限公司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21143</w:t>
            </w:r>
            <w:r>
              <w:rPr>
                <w:rFonts w:ascii="Times New Roman" w:hAnsi="Times New Roman"/>
                <w:color w:val="000000" w:themeColor="text1"/>
                <w:spacing w:val="-36"/>
                <w:kern w:val="0"/>
                <w:szCs w:val="21"/>
              </w:rPr>
              <w:t xml:space="preserve"> </w:t>
            </w:r>
            <w:r>
              <w:rPr>
                <w:rFonts w:ascii="Times New Roman" w:hAnsi="Times New Roman"/>
                <w:color w:val="000000" w:themeColor="text1"/>
                <w:spacing w:val="-4"/>
                <w:kern w:val="0"/>
                <w:szCs w:val="21"/>
              </w:rPr>
              <w:t>.</w:t>
            </w:r>
            <w:r>
              <w:rPr>
                <w:rFonts w:ascii="Times New Roman" w:hAnsi="Times New Roman"/>
                <w:color w:val="000000" w:themeColor="text1"/>
                <w:spacing w:val="-44"/>
                <w:kern w:val="0"/>
                <w:szCs w:val="21"/>
              </w:rPr>
              <w:t xml:space="preserve"> </w:t>
            </w:r>
            <w:r>
              <w:rPr>
                <w:rFonts w:ascii="Times New Roman" w:hAnsi="Times New Roman"/>
                <w:color w:val="000000" w:themeColor="text1"/>
                <w:spacing w:val="-4"/>
                <w:kern w:val="0"/>
                <w:szCs w:val="21"/>
              </w:rPr>
              <w:t>9</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38</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广东腾玻玻璃科技有限公司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17442</w:t>
            </w:r>
            <w:r>
              <w:rPr>
                <w:rFonts w:ascii="Times New Roman" w:hAnsi="Times New Roman"/>
                <w:color w:val="000000" w:themeColor="text1"/>
                <w:spacing w:val="-29"/>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45"/>
                <w:kern w:val="0"/>
                <w:szCs w:val="21"/>
              </w:rPr>
              <w:t xml:space="preserve"> </w:t>
            </w:r>
            <w:r>
              <w:rPr>
                <w:rFonts w:ascii="Times New Roman" w:hAnsi="Times New Roman"/>
                <w:color w:val="000000" w:themeColor="text1"/>
                <w:spacing w:val="-5"/>
                <w:kern w:val="0"/>
                <w:szCs w:val="21"/>
              </w:rPr>
              <w:t>05</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39</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广东祈成玻璃钢有限公司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租中虎厂房</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家具制造</w:t>
            </w: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40</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江门橱梦空间橱柜有限公司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6670</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41</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广东宇宙门业有限公司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46690</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塑料制品制造</w:t>
            </w: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42</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捷力塑胶制造</w:t>
            </w:r>
            <w:r>
              <w:rPr>
                <w:rFonts w:ascii="Times New Roman" w:hAnsi="Times New Roman"/>
                <w:color w:val="000000" w:themeColor="text1"/>
                <w:spacing w:val="-99"/>
                <w:kern w:val="0"/>
                <w:szCs w:val="21"/>
              </w:rPr>
              <w:t xml:space="preserve"> </w:t>
            </w:r>
            <w:r>
              <w:rPr>
                <w:rFonts w:ascii="Times New Roman" w:hAnsi="Times New Roman"/>
                <w:color w:val="000000" w:themeColor="text1"/>
                <w:spacing w:val="-1"/>
                <w:kern w:val="0"/>
                <w:szCs w:val="21"/>
              </w:rPr>
              <w:t>（台山）有限公司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6"/>
                <w:kern w:val="0"/>
                <w:szCs w:val="21"/>
              </w:rPr>
              <w:t>19216</w:t>
            </w:r>
            <w:r>
              <w:rPr>
                <w:rFonts w:ascii="Times New Roman" w:hAnsi="Times New Roman"/>
                <w:color w:val="000000" w:themeColor="text1"/>
                <w:spacing w:val="-29"/>
                <w:kern w:val="0"/>
                <w:szCs w:val="21"/>
              </w:rPr>
              <w:t xml:space="preserve"> </w:t>
            </w:r>
            <w:r>
              <w:rPr>
                <w:rFonts w:ascii="Times New Roman" w:hAnsi="Times New Roman"/>
                <w:color w:val="000000" w:themeColor="text1"/>
                <w:spacing w:val="-6"/>
                <w:kern w:val="0"/>
                <w:szCs w:val="21"/>
              </w:rPr>
              <w:t>.27</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spacing w:val="-5"/>
                <w:kern w:val="0"/>
                <w:szCs w:val="21"/>
                <w:lang w:val="en-US" w:eastAsia="zh-CN"/>
              </w:rPr>
              <w:t>43</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台山市中尚餐厨用品有限公司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51685</w:t>
            </w:r>
            <w:r>
              <w:rPr>
                <w:rFonts w:ascii="Times New Roman" w:hAnsi="Times New Roman"/>
                <w:color w:val="000000" w:themeColor="text1"/>
                <w:spacing w:val="-36"/>
                <w:kern w:val="0"/>
                <w:szCs w:val="21"/>
              </w:rPr>
              <w:t xml:space="preserve"> </w:t>
            </w:r>
            <w:r>
              <w:rPr>
                <w:rFonts w:ascii="Times New Roman" w:hAnsi="Times New Roman"/>
                <w:color w:val="000000" w:themeColor="text1"/>
                <w:spacing w:val="-5"/>
                <w:kern w:val="0"/>
                <w:szCs w:val="21"/>
              </w:rPr>
              <w:t>.</w:t>
            </w:r>
            <w:r>
              <w:rPr>
                <w:rFonts w:ascii="Times New Roman" w:hAnsi="Times New Roman"/>
                <w:color w:val="000000" w:themeColor="text1"/>
                <w:spacing w:val="-39"/>
                <w:kern w:val="0"/>
                <w:szCs w:val="21"/>
              </w:rPr>
              <w:t xml:space="preserve"> </w:t>
            </w:r>
            <w:r>
              <w:rPr>
                <w:rFonts w:ascii="Times New Roman" w:hAnsi="Times New Roman"/>
                <w:color w:val="000000" w:themeColor="text1"/>
                <w:spacing w:val="-5"/>
                <w:kern w:val="0"/>
                <w:szCs w:val="21"/>
              </w:rPr>
              <w:t>83</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widowControl/>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44</w:t>
            </w:r>
          </w:p>
        </w:tc>
        <w:tc>
          <w:tcPr>
            <w:tcW w:w="2847" w:type="dxa"/>
            <w:shd w:val="clear" w:color="auto" w:fill="auto"/>
            <w:vAlign w:val="center"/>
          </w:tcPr>
          <w:p>
            <w:pPr>
              <w:jc w:val="center"/>
              <w:rPr>
                <w:rFonts w:ascii="Times New Roman" w:hAnsi="Times New Roman"/>
                <w:color w:val="000000" w:themeColor="text1"/>
                <w:spacing w:val="-2"/>
                <w:kern w:val="0"/>
                <w:szCs w:val="21"/>
              </w:rPr>
            </w:pPr>
            <w:r>
              <w:rPr>
                <w:rFonts w:hint="eastAsia" w:ascii="Times New Roman" w:hAnsi="Times New Roman"/>
                <w:color w:val="000000" w:themeColor="text1"/>
                <w:spacing w:val="-2"/>
                <w:kern w:val="0"/>
                <w:szCs w:val="21"/>
              </w:rPr>
              <w:t>台山市创速玩具有限公司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2880</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食品制造</w:t>
            </w: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45</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台山市德润通食品有限公司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9538</w:t>
            </w:r>
            <w:r>
              <w:rPr>
                <w:rFonts w:ascii="Times New Roman" w:hAnsi="Times New Roman"/>
                <w:color w:val="000000" w:themeColor="text1"/>
                <w:spacing w:val="-38"/>
                <w:kern w:val="0"/>
                <w:szCs w:val="21"/>
              </w:rPr>
              <w:t xml:space="preserve"> </w:t>
            </w:r>
            <w:r>
              <w:rPr>
                <w:rFonts w:ascii="Times New Roman" w:hAnsi="Times New Roman"/>
                <w:color w:val="000000" w:themeColor="text1"/>
                <w:spacing w:val="-4"/>
                <w:kern w:val="0"/>
                <w:szCs w:val="21"/>
              </w:rPr>
              <w:t>.</w:t>
            </w:r>
            <w:r>
              <w:rPr>
                <w:rFonts w:ascii="Times New Roman" w:hAnsi="Times New Roman"/>
                <w:color w:val="000000" w:themeColor="text1"/>
                <w:spacing w:val="-27"/>
                <w:kern w:val="0"/>
                <w:szCs w:val="21"/>
              </w:rPr>
              <w:t xml:space="preserve"> </w:t>
            </w:r>
            <w:r>
              <w:rPr>
                <w:rFonts w:ascii="Times New Roman" w:hAnsi="Times New Roman"/>
                <w:color w:val="000000" w:themeColor="text1"/>
                <w:spacing w:val="-4"/>
                <w:kern w:val="0"/>
                <w:szCs w:val="21"/>
              </w:rPr>
              <w:t>1</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ascii="Times New Roman" w:hAnsi="Times New Roman"/>
                <w:color w:val="000000" w:themeColor="text1"/>
                <w:spacing w:val="-3"/>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46</w:t>
            </w:r>
          </w:p>
        </w:tc>
        <w:tc>
          <w:tcPr>
            <w:tcW w:w="2847" w:type="dxa"/>
            <w:shd w:val="clear" w:color="auto" w:fill="auto"/>
            <w:vAlign w:val="center"/>
          </w:tcPr>
          <w:p>
            <w:pPr>
              <w:jc w:val="center"/>
              <w:rPr>
                <w:rFonts w:hint="default" w:ascii="Times New Roman" w:hAnsi="Times New Roman" w:eastAsia="宋体"/>
                <w:color w:val="000000" w:themeColor="text1"/>
                <w:spacing w:val="-3"/>
                <w:kern w:val="0"/>
                <w:szCs w:val="21"/>
                <w:lang w:val="en-US" w:eastAsia="zh-CN"/>
              </w:rPr>
            </w:pPr>
            <w:r>
              <w:rPr>
                <w:rFonts w:hint="eastAsia" w:ascii="Times New Roman" w:hAnsi="Times New Roman"/>
                <w:color w:val="000000" w:themeColor="text1"/>
                <w:spacing w:val="-3"/>
                <w:kern w:val="0"/>
                <w:szCs w:val="21"/>
                <w:lang w:val="en-US" w:eastAsia="zh-CN"/>
              </w:rPr>
              <w:t>广东青绿圆农业科技有限公司</w:t>
            </w:r>
          </w:p>
        </w:tc>
        <w:tc>
          <w:tcPr>
            <w:tcW w:w="917"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hint="default"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10231</w:t>
            </w:r>
          </w:p>
        </w:tc>
        <w:tc>
          <w:tcPr>
            <w:tcW w:w="1086" w:type="dxa"/>
            <w:shd w:val="clear" w:color="auto" w:fill="auto"/>
            <w:vAlign w:val="center"/>
          </w:tcPr>
          <w:p>
            <w:pPr>
              <w:jc w:val="center"/>
              <w:rPr>
                <w:rFonts w:hint="eastAsia" w:ascii="Times New Roman" w:hAnsi="Times New Roman" w:eastAsia="宋体"/>
                <w:color w:val="000000" w:themeColor="text1"/>
                <w:spacing w:val="-4"/>
                <w:kern w:val="0"/>
                <w:szCs w:val="21"/>
                <w:lang w:eastAsia="zh-CN"/>
              </w:rPr>
            </w:pPr>
            <w:r>
              <w:rPr>
                <w:rFonts w:hint="eastAsia" w:ascii="Times New Roman" w:hAnsi="Times New Roman"/>
                <w:color w:val="000000" w:themeColor="text1"/>
                <w:spacing w:val="-4"/>
                <w:kern w:val="0"/>
                <w:szCs w:val="21"/>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ascii="Times New Roman" w:hAnsi="Times New Roman"/>
                <w:color w:val="000000" w:themeColor="text1"/>
                <w:kern w:val="0"/>
                <w:szCs w:val="21"/>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47</w:t>
            </w:r>
          </w:p>
        </w:tc>
        <w:tc>
          <w:tcPr>
            <w:tcW w:w="2847" w:type="dxa"/>
            <w:shd w:val="clear" w:color="auto" w:fill="auto"/>
            <w:vAlign w:val="center"/>
          </w:tcPr>
          <w:p>
            <w:pPr>
              <w:jc w:val="center"/>
              <w:rPr>
                <w:rFonts w:hint="default" w:ascii="Times New Roman" w:hAnsi="Times New Roman" w:eastAsia="宋体"/>
                <w:color w:val="000000" w:themeColor="text1"/>
                <w:kern w:val="0"/>
                <w:szCs w:val="21"/>
                <w:lang w:val="en-US" w:eastAsia="zh-CN"/>
              </w:rPr>
            </w:pPr>
            <w:r>
              <w:rPr>
                <w:rFonts w:hint="eastAsia" w:ascii="Times New Roman" w:hAnsi="Times New Roman"/>
                <w:color w:val="000000" w:themeColor="text1"/>
                <w:kern w:val="0"/>
                <w:szCs w:val="21"/>
                <w:lang w:val="en-US" w:eastAsia="zh-CN"/>
              </w:rPr>
              <w:t>玺俊（广东）生物科技有限公司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26993</w:t>
            </w:r>
            <w:r>
              <w:rPr>
                <w:rFonts w:ascii="Times New Roman" w:hAnsi="Times New Roman"/>
                <w:color w:val="000000" w:themeColor="text1"/>
                <w:spacing w:val="-33"/>
                <w:kern w:val="0"/>
                <w:szCs w:val="21"/>
              </w:rPr>
              <w:t xml:space="preserve"> </w:t>
            </w:r>
            <w:r>
              <w:rPr>
                <w:rFonts w:ascii="Times New Roman" w:hAnsi="Times New Roman"/>
                <w:color w:val="000000" w:themeColor="text1"/>
                <w:spacing w:val="-3"/>
                <w:kern w:val="0"/>
                <w:szCs w:val="21"/>
              </w:rPr>
              <w:t>.49</w:t>
            </w:r>
          </w:p>
        </w:tc>
        <w:tc>
          <w:tcPr>
            <w:tcW w:w="1086" w:type="dxa"/>
            <w:shd w:val="clear" w:color="auto" w:fill="auto"/>
            <w:vAlign w:val="center"/>
          </w:tcPr>
          <w:p>
            <w:pPr>
              <w:jc w:val="center"/>
              <w:rPr>
                <w:rFonts w:hint="eastAsia" w:ascii="Times New Roman" w:hAnsi="Times New Roman" w:eastAsia="宋体"/>
                <w:color w:val="000000" w:themeColor="text1"/>
                <w:kern w:val="0"/>
                <w:szCs w:val="21"/>
                <w:lang w:eastAsia="zh-CN"/>
              </w:rPr>
            </w:pPr>
            <w:r>
              <w:rPr>
                <w:rFonts w:hint="eastAsia" w:ascii="Times New Roman" w:hAnsi="Times New Roman"/>
                <w:color w:val="000000" w:themeColor="text1"/>
                <w:spacing w:val="-4"/>
                <w:kern w:val="0"/>
                <w:szCs w:val="21"/>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2"/>
                <w:kern w:val="0"/>
                <w:szCs w:val="21"/>
              </w:rPr>
              <w:t>有色金属冶炼和压</w:t>
            </w:r>
            <w:r>
              <w:rPr>
                <w:rFonts w:ascii="Times New Roman" w:hAnsi="Times New Roman"/>
                <w:color w:val="000000" w:themeColor="text1"/>
                <w:spacing w:val="-3"/>
                <w:kern w:val="0"/>
                <w:szCs w:val="21"/>
              </w:rPr>
              <w:t>延加工业</w:t>
            </w: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48</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广东海亮铜业有限公司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280013</w:t>
            </w:r>
            <w:r>
              <w:rPr>
                <w:rFonts w:ascii="Times New Roman" w:hAnsi="Times New Roman"/>
                <w:color w:val="000000" w:themeColor="text1"/>
                <w:spacing w:val="-29"/>
                <w:kern w:val="0"/>
                <w:szCs w:val="21"/>
              </w:rPr>
              <w:t xml:space="preserve"> </w:t>
            </w:r>
            <w:r>
              <w:rPr>
                <w:rFonts w:ascii="Times New Roman" w:hAnsi="Times New Roman"/>
                <w:color w:val="000000" w:themeColor="text1"/>
                <w:spacing w:val="-3"/>
                <w:kern w:val="0"/>
                <w:szCs w:val="21"/>
              </w:rPr>
              <w:t>.27</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日用纸品制造</w:t>
            </w: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49</w:t>
            </w:r>
          </w:p>
        </w:tc>
        <w:tc>
          <w:tcPr>
            <w:tcW w:w="284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1"/>
                <w:kern w:val="0"/>
                <w:szCs w:val="21"/>
              </w:rPr>
              <w:t>加美敦（江门）卫生护理用品有限</w:t>
            </w:r>
            <w:r>
              <w:rPr>
                <w:rFonts w:ascii="Times New Roman" w:hAnsi="Times New Roman"/>
                <w:color w:val="000000" w:themeColor="text1"/>
                <w:spacing w:val="-8"/>
                <w:kern w:val="0"/>
                <w:szCs w:val="21"/>
              </w:rPr>
              <w:t>公司</w:t>
            </w:r>
          </w:p>
        </w:tc>
        <w:tc>
          <w:tcPr>
            <w:tcW w:w="917"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3"/>
                <w:kern w:val="0"/>
                <w:szCs w:val="21"/>
              </w:rPr>
              <w:t>租中虎厂房</w:t>
            </w:r>
          </w:p>
        </w:tc>
        <w:tc>
          <w:tcPr>
            <w:tcW w:w="1086" w:type="dxa"/>
            <w:shd w:val="clear" w:color="auto" w:fill="auto"/>
            <w:vAlign w:val="center"/>
          </w:tcPr>
          <w:p>
            <w:pPr>
              <w:jc w:val="center"/>
              <w:rPr>
                <w:rFonts w:ascii="Times New Roman" w:hAnsi="Times New Roman"/>
                <w:color w:val="000000" w:themeColor="text1"/>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restart"/>
            <w:shd w:val="clear" w:color="auto" w:fill="auto"/>
            <w:vAlign w:val="center"/>
          </w:tcPr>
          <w:p>
            <w:pPr>
              <w:jc w:val="center"/>
              <w:rPr>
                <w:rFonts w:hint="eastAsia" w:ascii="Times New Roman" w:hAnsi="Times New Roman"/>
                <w:color w:val="000000" w:themeColor="text1"/>
                <w:kern w:val="0"/>
                <w:szCs w:val="21"/>
                <w:lang w:val="en-US" w:eastAsia="zh-CN"/>
              </w:rPr>
            </w:pPr>
            <w:r>
              <w:rPr>
                <w:rFonts w:hint="eastAsia" w:ascii="Times New Roman" w:hAnsi="Times New Roman"/>
                <w:color w:val="000000" w:themeColor="text1"/>
                <w:kern w:val="0"/>
                <w:szCs w:val="21"/>
                <w:lang w:val="en-US" w:eastAsia="zh-CN"/>
              </w:rPr>
              <w:t>金属制造</w:t>
            </w: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50</w:t>
            </w:r>
          </w:p>
        </w:tc>
        <w:tc>
          <w:tcPr>
            <w:tcW w:w="2847" w:type="dxa"/>
            <w:shd w:val="clear" w:color="auto" w:fill="auto"/>
            <w:vAlign w:val="center"/>
          </w:tcPr>
          <w:p>
            <w:pPr>
              <w:jc w:val="center"/>
              <w:rPr>
                <w:rFonts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广东德旻五金制造有限公司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2863</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hint="eastAsia" w:ascii="Times New Roman" w:hAnsi="Times New Roman"/>
                <w:color w:val="000000" w:themeColor="text1"/>
                <w:kern w:val="0"/>
                <w:szCs w:val="21"/>
                <w:lang w:val="en-US" w:eastAsia="zh-CN"/>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51</w:t>
            </w:r>
          </w:p>
        </w:tc>
        <w:tc>
          <w:tcPr>
            <w:tcW w:w="2847" w:type="dxa"/>
            <w:shd w:val="clear" w:color="auto" w:fill="auto"/>
            <w:vAlign w:val="center"/>
          </w:tcPr>
          <w:p>
            <w:pPr>
              <w:jc w:val="center"/>
              <w:rPr>
                <w:rFonts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江门市帝维嘉科技有限公司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2953</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hint="eastAsia" w:ascii="Times New Roman" w:hAnsi="Times New Roman"/>
                <w:color w:val="000000" w:themeColor="text1"/>
                <w:kern w:val="0"/>
                <w:szCs w:val="21"/>
                <w:lang w:val="en-US" w:eastAsia="zh-CN"/>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52</w:t>
            </w:r>
          </w:p>
        </w:tc>
        <w:tc>
          <w:tcPr>
            <w:tcW w:w="2847" w:type="dxa"/>
            <w:shd w:val="clear" w:color="auto" w:fill="auto"/>
            <w:vAlign w:val="center"/>
          </w:tcPr>
          <w:p>
            <w:pPr>
              <w:jc w:val="center"/>
              <w:rPr>
                <w:rFonts w:hint="eastAsia"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江门市鸿吉金刚石工具有限公司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2879</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hint="eastAsia" w:ascii="Times New Roman" w:hAnsi="Times New Roman"/>
                <w:color w:val="000000" w:themeColor="text1"/>
                <w:kern w:val="0"/>
                <w:szCs w:val="21"/>
                <w:lang w:val="en-US" w:eastAsia="zh-CN"/>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53</w:t>
            </w:r>
          </w:p>
        </w:tc>
        <w:tc>
          <w:tcPr>
            <w:tcW w:w="2847" w:type="dxa"/>
            <w:shd w:val="clear" w:color="auto" w:fill="auto"/>
            <w:vAlign w:val="center"/>
          </w:tcPr>
          <w:p>
            <w:pPr>
              <w:jc w:val="center"/>
              <w:rPr>
                <w:rFonts w:hint="eastAsia"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深沪（江门）标准件科技有限公司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2880</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9" w:type="dxa"/>
            <w:vMerge w:val="continue"/>
            <w:shd w:val="clear" w:color="auto" w:fill="auto"/>
            <w:vAlign w:val="center"/>
          </w:tcPr>
          <w:p>
            <w:pPr>
              <w:jc w:val="center"/>
              <w:rPr>
                <w:rFonts w:hint="eastAsia" w:ascii="Times New Roman" w:hAnsi="Times New Roman"/>
                <w:color w:val="000000" w:themeColor="text1"/>
                <w:kern w:val="0"/>
                <w:szCs w:val="21"/>
                <w:lang w:val="en-US" w:eastAsia="zh-CN"/>
              </w:rPr>
            </w:pPr>
          </w:p>
        </w:tc>
        <w:tc>
          <w:tcPr>
            <w:tcW w:w="533" w:type="dxa"/>
            <w:shd w:val="clear" w:color="auto" w:fill="auto"/>
            <w:vAlign w:val="center"/>
          </w:tcPr>
          <w:p>
            <w:pPr>
              <w:jc w:val="center"/>
              <w:rPr>
                <w:rFonts w:hint="default" w:ascii="Times New Roman" w:hAnsi="Times New Roman" w:eastAsia="宋体"/>
                <w:color w:val="000000" w:themeColor="text1"/>
                <w:spacing w:val="-5"/>
                <w:kern w:val="0"/>
                <w:szCs w:val="21"/>
                <w:lang w:val="en-US" w:eastAsia="zh-CN"/>
              </w:rPr>
            </w:pPr>
            <w:r>
              <w:rPr>
                <w:rFonts w:hint="eastAsia" w:ascii="Times New Roman" w:hAnsi="Times New Roman"/>
                <w:color w:val="000000" w:themeColor="text1"/>
                <w:spacing w:val="-5"/>
                <w:kern w:val="0"/>
                <w:szCs w:val="21"/>
                <w:lang w:val="en-US" w:eastAsia="zh-CN"/>
              </w:rPr>
              <w:t>54</w:t>
            </w:r>
          </w:p>
        </w:tc>
        <w:tc>
          <w:tcPr>
            <w:tcW w:w="2847" w:type="dxa"/>
            <w:shd w:val="clear" w:color="auto" w:fill="auto"/>
            <w:vAlign w:val="center"/>
          </w:tcPr>
          <w:p>
            <w:pPr>
              <w:jc w:val="center"/>
              <w:rPr>
                <w:rFonts w:hint="eastAsia" w:ascii="Times New Roman" w:hAnsi="Times New Roman"/>
                <w:color w:val="000000" w:themeColor="text1"/>
                <w:spacing w:val="-1"/>
                <w:kern w:val="0"/>
                <w:szCs w:val="21"/>
              </w:rPr>
            </w:pPr>
            <w:r>
              <w:rPr>
                <w:rFonts w:hint="eastAsia" w:ascii="Times New Roman" w:hAnsi="Times New Roman"/>
                <w:color w:val="000000" w:themeColor="text1"/>
                <w:spacing w:val="-1"/>
                <w:kern w:val="0"/>
                <w:szCs w:val="21"/>
              </w:rPr>
              <w:t>江门市互展五金制品有限公司</w:t>
            </w:r>
          </w:p>
        </w:tc>
        <w:tc>
          <w:tcPr>
            <w:tcW w:w="917" w:type="dxa"/>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color w:val="000000" w:themeColor="text1"/>
                <w:spacing w:val="-5"/>
                <w:kern w:val="0"/>
                <w:szCs w:val="21"/>
              </w:rPr>
              <w:t>北组团</w:t>
            </w:r>
          </w:p>
        </w:tc>
        <w:tc>
          <w:tcPr>
            <w:tcW w:w="1504" w:type="dxa"/>
            <w:shd w:val="clear" w:color="auto" w:fill="auto"/>
            <w:vAlign w:val="center"/>
          </w:tcPr>
          <w:p>
            <w:pPr>
              <w:jc w:val="center"/>
              <w:rPr>
                <w:rFonts w:hint="default" w:ascii="Times New Roman" w:hAnsi="Times New Roman"/>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2876</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ascii="Times New Roman" w:hAnsi="Times New Roman"/>
                <w:color w:val="000000" w:themeColor="text1"/>
                <w:spacing w:val="-4"/>
                <w:kern w:val="0"/>
                <w:szCs w:val="21"/>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66" w:type="dxa"/>
            <w:gridSpan w:val="4"/>
            <w:shd w:val="clear" w:color="auto" w:fill="auto"/>
            <w:vAlign w:val="center"/>
          </w:tcPr>
          <w:p>
            <w:pPr>
              <w:jc w:val="center"/>
              <w:rPr>
                <w:rFonts w:ascii="Times New Roman" w:hAnsi="Times New Roman"/>
                <w:color w:val="000000" w:themeColor="text1"/>
                <w:spacing w:val="-5"/>
                <w:kern w:val="0"/>
                <w:szCs w:val="21"/>
              </w:rPr>
            </w:pPr>
            <w:r>
              <w:rPr>
                <w:rFonts w:ascii="Times New Roman" w:hAnsi="Times New Roman"/>
                <w:b/>
                <w:color w:val="000000" w:themeColor="text1"/>
                <w:spacing w:val="-5"/>
                <w:kern w:val="0"/>
                <w:szCs w:val="21"/>
              </w:rPr>
              <w:t>合计</w:t>
            </w:r>
          </w:p>
        </w:tc>
        <w:tc>
          <w:tcPr>
            <w:tcW w:w="1504" w:type="dxa"/>
            <w:shd w:val="clear" w:color="auto" w:fill="auto"/>
            <w:vAlign w:val="center"/>
          </w:tcPr>
          <w:p>
            <w:pPr>
              <w:jc w:val="center"/>
              <w:rPr>
                <w:rFonts w:hint="default" w:ascii="Times New Roman" w:hAnsi="Times New Roman" w:eastAsia="宋体"/>
                <w:color w:val="000000" w:themeColor="text1"/>
                <w:spacing w:val="-4"/>
                <w:kern w:val="0"/>
                <w:szCs w:val="21"/>
                <w:lang w:val="en-US" w:eastAsia="zh-CN"/>
              </w:rPr>
            </w:pPr>
            <w:r>
              <w:rPr>
                <w:rFonts w:hint="eastAsia" w:ascii="Times New Roman" w:hAnsi="Times New Roman"/>
                <w:color w:val="000000" w:themeColor="text1"/>
                <w:spacing w:val="-4"/>
                <w:kern w:val="0"/>
                <w:szCs w:val="21"/>
                <w:lang w:val="en-US" w:eastAsia="zh-CN"/>
              </w:rPr>
              <w:t>844724.2</w:t>
            </w:r>
          </w:p>
        </w:tc>
        <w:tc>
          <w:tcPr>
            <w:tcW w:w="1086" w:type="dxa"/>
            <w:shd w:val="clear" w:color="auto" w:fill="auto"/>
            <w:vAlign w:val="center"/>
          </w:tcPr>
          <w:p>
            <w:pPr>
              <w:jc w:val="center"/>
              <w:rPr>
                <w:rFonts w:ascii="Times New Roman" w:hAnsi="Times New Roman"/>
                <w:color w:val="000000" w:themeColor="text1"/>
                <w:spacing w:val="-4"/>
                <w:kern w:val="0"/>
                <w:szCs w:val="21"/>
              </w:rPr>
            </w:pPr>
            <w:r>
              <w:rPr>
                <w:rFonts w:hint="eastAsia" w:ascii="Times New Roman" w:hAnsi="Times New Roman"/>
                <w:color w:val="000000" w:themeColor="text1"/>
                <w:spacing w:val="-4"/>
                <w:kern w:val="0"/>
                <w:szCs w:val="21"/>
              </w:rPr>
              <w:t>/</w:t>
            </w:r>
          </w:p>
        </w:tc>
      </w:tr>
    </w:tbl>
    <w:p>
      <w:pPr>
        <w:jc w:val="center"/>
        <w:rPr>
          <w:color w:val="FF0000"/>
        </w:rPr>
      </w:pPr>
      <w:r>
        <w:rPr>
          <w:color w:val="FF0000"/>
        </w:rPr>
        <w:pict>
          <v:shape id="_x0000_i1026" o:spt="75" type="#_x0000_t75" style="height:242.6pt;width:411.4pt;" filled="f" o:preferrelative="t" stroked="f" coordsize="21600,21600">
            <v:path/>
            <v:fill on="f" focussize="0,0"/>
            <v:stroke on="f"/>
            <v:imagedata r:id="rId7" o:title=""/>
            <o:lock v:ext="edit" aspectratio="t"/>
            <w10:wrap type="none"/>
            <w10:anchorlock/>
          </v:shape>
        </w:pict>
      </w:r>
    </w:p>
    <w:p>
      <w:pPr>
        <w:pStyle w:val="2"/>
        <w:jc w:val="center"/>
        <w:rPr>
          <w:rFonts w:ascii="Times New Roman" w:hAnsi="Times New Roman"/>
          <w:b/>
          <w:color w:val="auto"/>
          <w:sz w:val="21"/>
          <w:szCs w:val="21"/>
        </w:rPr>
      </w:pPr>
      <w:r>
        <w:rPr>
          <w:rFonts w:ascii="Times New Roman" w:hAnsi="Times New Roman"/>
          <w:b/>
          <w:color w:val="auto"/>
          <w:sz w:val="21"/>
          <w:szCs w:val="21"/>
        </w:rPr>
        <w:t>图3.1-1入园企业行业占比情况图</w:t>
      </w:r>
    </w:p>
    <w:p>
      <w:pPr>
        <w:pStyle w:val="14"/>
      </w:pPr>
      <w:bookmarkStart w:id="21" w:name="_Toc97912847"/>
      <w:bookmarkStart w:id="22" w:name="_Toc5102"/>
      <w:r>
        <w:rPr>
          <w:rFonts w:hint="eastAsia"/>
        </w:rPr>
        <w:t>3</w:t>
      </w:r>
      <w:r>
        <w:t>.2</w:t>
      </w:r>
      <w:r>
        <w:rPr>
          <w:rFonts w:hint="eastAsia"/>
        </w:rPr>
        <w:t>土地</w:t>
      </w:r>
      <w:r>
        <w:t>开发现状</w:t>
      </w:r>
      <w:bookmarkEnd w:id="21"/>
      <w:bookmarkEnd w:id="22"/>
    </w:p>
    <w:p>
      <w:pPr>
        <w:spacing w:line="360" w:lineRule="auto"/>
        <w:ind w:firstLine="480" w:firstLineChars="200"/>
      </w:pPr>
      <w:r>
        <w:rPr>
          <w:rFonts w:hint="eastAsia" w:ascii="Times New Roman" w:hAnsi="Times New Roman"/>
          <w:sz w:val="24"/>
        </w:rPr>
        <w:t>台山产业转移工业园规划总面积为616.13公顷，建设用地规划面积为594.32公顷，实际开发303.58公顷，建设用地开发比例为51.08%，其中工业用地规划面积为447.91公顷，实际开发246.77公顷，工业用地开发比例为55.09%。</w:t>
      </w:r>
    </w:p>
    <w:p>
      <w:pPr>
        <w:pStyle w:val="14"/>
      </w:pPr>
      <w:bookmarkStart w:id="23" w:name="_Toc7106"/>
      <w:bookmarkStart w:id="24" w:name="_Toc97912848"/>
      <w:r>
        <w:rPr>
          <w:rFonts w:hint="eastAsia"/>
        </w:rPr>
        <w:t>3.3能源</w:t>
      </w:r>
      <w:r>
        <w:t>消耗情况</w:t>
      </w:r>
      <w:bookmarkEnd w:id="23"/>
      <w:bookmarkEnd w:id="24"/>
    </w:p>
    <w:p>
      <w:pPr>
        <w:spacing w:line="360" w:lineRule="auto"/>
        <w:ind w:firstLine="480" w:firstLineChars="200"/>
        <w:rPr>
          <w:rFonts w:ascii="Times New Roman" w:hAnsi="Times New Roman"/>
          <w:sz w:val="24"/>
        </w:rPr>
      </w:pPr>
      <w:r>
        <w:rPr>
          <w:rFonts w:hint="eastAsia" w:ascii="Times New Roman" w:hAnsi="Times New Roman"/>
          <w:sz w:val="24"/>
        </w:rPr>
        <w:t>根据《江门产业转移工业园台山园区环境影响报告书》，园区规划总用水量为1.03万m</w:t>
      </w:r>
      <w:r>
        <w:rPr>
          <w:rFonts w:hint="eastAsia" w:ascii="Times New Roman" w:hAnsi="Times New Roman"/>
          <w:sz w:val="24"/>
          <w:vertAlign w:val="superscript"/>
        </w:rPr>
        <w:t>3</w:t>
      </w:r>
      <w:r>
        <w:rPr>
          <w:rFonts w:hint="eastAsia" w:ascii="Times New Roman" w:hAnsi="Times New Roman"/>
          <w:sz w:val="24"/>
        </w:rPr>
        <w:t>/d，园区内无规划新建水厂，园区为台城第二水厂和水步镇自来水厂的供水范围。为了保证园区供水水量、水压、供水安全的要求，扩建水步镇自来水厂，并与台城第二水厂联网供水。目前园区实际用水量约为5000m</w:t>
      </w:r>
      <w:r>
        <w:rPr>
          <w:rFonts w:hint="eastAsia" w:ascii="Times New Roman" w:hAnsi="Times New Roman"/>
          <w:sz w:val="24"/>
          <w:vertAlign w:val="superscript"/>
        </w:rPr>
        <w:t>3</w:t>
      </w:r>
      <w:r>
        <w:rPr>
          <w:rFonts w:hint="eastAsia" w:ascii="Times New Roman" w:hAnsi="Times New Roman"/>
          <w:sz w:val="24"/>
        </w:rPr>
        <w:t>/d，是原规划用水量的48.54% 。</w:t>
      </w:r>
    </w:p>
    <w:p>
      <w:pPr>
        <w:spacing w:line="360" w:lineRule="auto"/>
        <w:ind w:firstLine="480" w:firstLineChars="200"/>
        <w:rPr>
          <w:szCs w:val="21"/>
        </w:rPr>
      </w:pPr>
      <w:r>
        <w:rPr>
          <w:rFonts w:hint="eastAsia" w:ascii="Times New Roman" w:hAnsi="Times New Roman"/>
          <w:sz w:val="24"/>
        </w:rPr>
        <w:t>目前园区实际用电负荷为6.12万kW，是原规划用电负荷的55.33%；台山园区目前未接通天然气管网，主要能源为电能，部分企业涉及加热炉、固化炉的使用，燃料以轻质柴油及生物质成型燃料为主。</w:t>
      </w:r>
    </w:p>
    <w:p>
      <w:pPr>
        <w:pStyle w:val="14"/>
      </w:pPr>
      <w:bookmarkStart w:id="25" w:name="_Toc6465"/>
      <w:bookmarkStart w:id="26" w:name="_Toc97912849"/>
      <w:r>
        <w:rPr>
          <w:rFonts w:hint="eastAsia"/>
        </w:rPr>
        <w:t>3.4环保</w:t>
      </w:r>
      <w:r>
        <w:t>设施配套建设情况</w:t>
      </w:r>
      <w:bookmarkEnd w:id="25"/>
      <w:bookmarkEnd w:id="26"/>
    </w:p>
    <w:p>
      <w:pPr>
        <w:pStyle w:val="15"/>
      </w:pPr>
      <w:bookmarkStart w:id="27" w:name="_Toc97912850"/>
      <w:r>
        <w:rPr>
          <w:rFonts w:hint="eastAsia"/>
        </w:rPr>
        <w:t>3.4.1污水</w:t>
      </w:r>
      <w:r>
        <w:t>工程现状</w:t>
      </w:r>
      <w:bookmarkEnd w:id="27"/>
    </w:p>
    <w:p>
      <w:pPr>
        <w:spacing w:line="360" w:lineRule="auto"/>
        <w:ind w:firstLine="480" w:firstLineChars="200"/>
        <w:rPr>
          <w:rFonts w:ascii="Times New Roman" w:hAnsi="Times New Roman"/>
          <w:sz w:val="24"/>
        </w:rPr>
      </w:pPr>
      <w:r>
        <w:rPr>
          <w:rFonts w:hint="eastAsia" w:ascii="Times New Roman" w:hAnsi="Times New Roman"/>
          <w:sz w:val="24"/>
        </w:rPr>
        <w:t>园区内有已建成台山工业新城水步污水处理厂。</w:t>
      </w:r>
    </w:p>
    <w:p>
      <w:pPr>
        <w:spacing w:line="360" w:lineRule="auto"/>
        <w:ind w:firstLine="480" w:firstLineChars="200"/>
      </w:pPr>
      <w:r>
        <w:rPr>
          <w:rFonts w:hint="eastAsia" w:ascii="Times New Roman" w:hAnsi="Times New Roman"/>
          <w:sz w:val="24"/>
        </w:rPr>
        <w:t>台山工业新城水步污水处理厂于2019年底建成，2020年底完成自主验收，首期工程处理规模为1万吨/日。园区南组团的废水经预处理达到接管标准后排入台山工业新城水步污水处理厂处理达标后排放，台山工业新城水步污水处理厂接管标准执行广东省地方排放标准《水污染物排放限值》（DB44/26-2001）第二时段三级标准，尾水排放执行《城镇污水处理站污染物排放标准》 （GB18918-2002）中一级A标准及广东省地方标准《水污染物排放限值》（DB44/26-2001）第二时段一级标准中的较严值，尾水排放公益水。</w:t>
      </w:r>
    </w:p>
    <w:p>
      <w:pPr>
        <w:pStyle w:val="15"/>
      </w:pPr>
      <w:bookmarkStart w:id="28" w:name="_Toc97912851"/>
      <w:r>
        <w:rPr>
          <w:rFonts w:hint="eastAsia"/>
        </w:rPr>
        <w:t>3.4.2污水</w:t>
      </w:r>
      <w:r>
        <w:t>管网建设现状</w:t>
      </w:r>
      <w:bookmarkEnd w:id="28"/>
    </w:p>
    <w:p>
      <w:pPr>
        <w:spacing w:line="360" w:lineRule="auto"/>
        <w:ind w:firstLine="480" w:firstLineChars="200"/>
        <w:rPr>
          <w:rFonts w:ascii="Times New Roman" w:hAnsi="Times New Roman"/>
          <w:sz w:val="24"/>
        </w:rPr>
      </w:pPr>
      <w:r>
        <w:rPr>
          <w:rFonts w:hint="eastAsia" w:ascii="Times New Roman" w:hAnsi="Times New Roman"/>
          <w:sz w:val="24"/>
        </w:rPr>
        <w:t>现状园区内的污水管道主要沿南、北组团已建成道路建设，覆盖所有已入园企业，然后排放</w:t>
      </w:r>
      <w:r>
        <w:rPr>
          <w:rFonts w:hint="eastAsia" w:ascii="Times New Roman" w:hAnsi="Times New Roman"/>
          <w:sz w:val="24"/>
          <w:lang w:val="en-US" w:eastAsia="zh-CN"/>
        </w:rPr>
        <w:t>至</w:t>
      </w:r>
      <w:r>
        <w:rPr>
          <w:rFonts w:hint="eastAsia" w:ascii="Times New Roman" w:hAnsi="Times New Roman"/>
          <w:sz w:val="24"/>
        </w:rPr>
        <w:t>台山工业新城水步污水处理厂处理。</w:t>
      </w:r>
    </w:p>
    <w:p>
      <w:pPr>
        <w:pStyle w:val="14"/>
      </w:pPr>
      <w:bookmarkStart w:id="29" w:name="_Toc97912852"/>
      <w:bookmarkStart w:id="30" w:name="_Toc31619"/>
      <w:r>
        <w:rPr>
          <w:rFonts w:hint="eastAsia"/>
        </w:rPr>
        <w:t>3</w:t>
      </w:r>
      <w:r>
        <w:t>.5园区现有企业排污情况</w:t>
      </w:r>
      <w:bookmarkEnd w:id="29"/>
      <w:bookmarkEnd w:id="30"/>
    </w:p>
    <w:p>
      <w:pPr>
        <w:pStyle w:val="15"/>
      </w:pPr>
      <w:bookmarkStart w:id="31" w:name="_Toc97912853"/>
      <w:r>
        <w:rPr>
          <w:rFonts w:hint="eastAsia"/>
        </w:rPr>
        <w:t>3</w:t>
      </w:r>
      <w:r>
        <w:t>.5.1废水排放情况</w:t>
      </w:r>
      <w:bookmarkEnd w:id="31"/>
    </w:p>
    <w:p>
      <w:pPr>
        <w:spacing w:line="360" w:lineRule="auto"/>
        <w:ind w:firstLine="480" w:firstLineChars="200"/>
        <w:rPr>
          <w:rFonts w:hint="eastAsia" w:ascii="Times New Roman" w:hAnsi="Times New Roman"/>
          <w:color w:val="000000" w:themeColor="text1"/>
          <w:sz w:val="24"/>
        </w:rPr>
      </w:pPr>
      <w:r>
        <w:rPr>
          <w:rFonts w:hint="eastAsia" w:ascii="Times New Roman" w:hAnsi="Times New Roman"/>
          <w:color w:val="000000" w:themeColor="text1"/>
          <w:sz w:val="24"/>
        </w:rPr>
        <w:t>园区废水主要包括园区内已建工业企业的生产废水及工人生活污水。根据园区入驻企业情况，调查的</w:t>
      </w:r>
      <w:r>
        <w:rPr>
          <w:rFonts w:hint="eastAsia" w:ascii="Times New Roman" w:hAnsi="Times New Roman"/>
          <w:color w:val="000000" w:themeColor="text1"/>
          <w:sz w:val="24"/>
          <w:lang w:val="en-US" w:eastAsia="zh-CN"/>
        </w:rPr>
        <w:t>54</w:t>
      </w:r>
      <w:r>
        <w:rPr>
          <w:rFonts w:hint="eastAsia" w:ascii="Times New Roman" w:hAnsi="Times New Roman"/>
          <w:color w:val="000000" w:themeColor="text1"/>
          <w:sz w:val="24"/>
        </w:rPr>
        <w:t>家工业企业中，其中正常生产的企业有</w:t>
      </w:r>
      <w:r>
        <w:rPr>
          <w:rFonts w:hint="eastAsia" w:ascii="Times New Roman" w:hAnsi="Times New Roman"/>
          <w:color w:val="000000" w:themeColor="text1"/>
          <w:sz w:val="24"/>
          <w:lang w:val="en-US" w:eastAsia="zh-CN"/>
        </w:rPr>
        <w:t>46</w:t>
      </w:r>
      <w:r>
        <w:rPr>
          <w:rFonts w:hint="eastAsia" w:ascii="Times New Roman" w:hAnsi="Times New Roman"/>
          <w:color w:val="000000" w:themeColor="text1"/>
          <w:sz w:val="24"/>
        </w:rPr>
        <w:t>家，在建企业有</w:t>
      </w:r>
      <w:r>
        <w:rPr>
          <w:rFonts w:hint="eastAsia" w:ascii="Times New Roman" w:hAnsi="Times New Roman"/>
          <w:color w:val="000000" w:themeColor="text1"/>
          <w:sz w:val="24"/>
          <w:lang w:val="en-US" w:eastAsia="zh-CN"/>
        </w:rPr>
        <w:t>8</w:t>
      </w:r>
      <w:r>
        <w:rPr>
          <w:rFonts w:hint="eastAsia" w:ascii="Times New Roman" w:hAnsi="Times New Roman"/>
          <w:color w:val="000000" w:themeColor="text1"/>
          <w:sz w:val="24"/>
        </w:rPr>
        <w:t>家</w:t>
      </w:r>
      <w:r>
        <w:rPr>
          <w:rFonts w:hint="eastAsia" w:ascii="Times New Roman" w:hAnsi="Times New Roman"/>
          <w:color w:val="000000" w:themeColor="text1"/>
          <w:sz w:val="24"/>
          <w:lang w:eastAsia="zh-CN"/>
        </w:rPr>
        <w:t>，</w:t>
      </w:r>
      <w:r>
        <w:rPr>
          <w:rFonts w:hint="eastAsia" w:ascii="Times New Roman" w:hAnsi="Times New Roman"/>
          <w:color w:val="000000" w:themeColor="text1"/>
          <w:sz w:val="24"/>
          <w:lang w:val="en-US" w:eastAsia="zh-CN"/>
        </w:rPr>
        <w:t>各企业的废水排放情况详见下表</w:t>
      </w:r>
      <w:r>
        <w:rPr>
          <w:rFonts w:hint="eastAsia" w:ascii="Times New Roman" w:hAnsi="Times New Roman"/>
          <w:color w:val="000000" w:themeColor="text1"/>
          <w:sz w:val="24"/>
        </w:rPr>
        <w:t>。</w:t>
      </w:r>
    </w:p>
    <w:p>
      <w:pPr>
        <w:pStyle w:val="2"/>
      </w:pPr>
    </w:p>
    <w:p>
      <w:pPr>
        <w:pStyle w:val="70"/>
        <w:ind w:firstLine="0" w:firstLineChars="0"/>
        <w:rPr>
          <w:rFonts w:eastAsia="宋体"/>
          <w:b/>
          <w:color w:val="000000" w:themeColor="text1"/>
          <w:sz w:val="21"/>
          <w:szCs w:val="21"/>
        </w:rPr>
      </w:pPr>
      <w:r>
        <w:rPr>
          <w:rFonts w:eastAsia="宋体"/>
          <w:b/>
          <w:color w:val="000000" w:themeColor="text1"/>
          <w:sz w:val="21"/>
          <w:szCs w:val="21"/>
        </w:rPr>
        <w:t>表</w:t>
      </w:r>
      <w:r>
        <w:rPr>
          <w:rFonts w:hint="eastAsia" w:eastAsia="宋体"/>
          <w:b/>
          <w:color w:val="000000" w:themeColor="text1"/>
          <w:sz w:val="21"/>
          <w:szCs w:val="21"/>
        </w:rPr>
        <w:t>3</w:t>
      </w:r>
      <w:r>
        <w:rPr>
          <w:rFonts w:eastAsia="宋体"/>
          <w:b/>
          <w:color w:val="000000" w:themeColor="text1"/>
          <w:sz w:val="21"/>
          <w:szCs w:val="21"/>
        </w:rPr>
        <w:t>.5-1已投产企业废水排放情况一览表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701"/>
        <w:gridCol w:w="1134"/>
        <w:gridCol w:w="1134"/>
        <w:gridCol w:w="992"/>
        <w:gridCol w:w="851"/>
        <w:gridCol w:w="1107"/>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序号</w:t>
            </w:r>
          </w:p>
        </w:tc>
        <w:tc>
          <w:tcPr>
            <w:tcW w:w="1701"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企业名称</w:t>
            </w:r>
          </w:p>
        </w:tc>
        <w:tc>
          <w:tcPr>
            <w:tcW w:w="2268" w:type="dxa"/>
            <w:gridSpan w:val="2"/>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废水量（m</w:t>
            </w:r>
            <w:r>
              <w:rPr>
                <w:rFonts w:hint="default" w:ascii="Times New Roman" w:hAnsi="Times New Roman" w:eastAsia="宋体" w:cs="Times New Roman"/>
                <w:b/>
                <w:color w:val="000000" w:themeColor="text1"/>
                <w:sz w:val="21"/>
                <w:szCs w:val="21"/>
                <w:vertAlign w:val="superscript"/>
              </w:rPr>
              <w:t>3</w:t>
            </w:r>
            <w:r>
              <w:rPr>
                <w:rFonts w:hint="default" w:ascii="Times New Roman" w:hAnsi="Times New Roman" w:eastAsia="宋体" w:cs="Times New Roman"/>
                <w:b/>
                <w:color w:val="000000" w:themeColor="text1"/>
                <w:sz w:val="21"/>
                <w:szCs w:val="21"/>
              </w:rPr>
              <w:t>/a）</w:t>
            </w:r>
          </w:p>
        </w:tc>
        <w:tc>
          <w:tcPr>
            <w:tcW w:w="992"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COD</w:t>
            </w:r>
          </w:p>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(t/a)</w:t>
            </w:r>
          </w:p>
        </w:tc>
        <w:tc>
          <w:tcPr>
            <w:tcW w:w="851"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氨氮(t/a)</w:t>
            </w:r>
          </w:p>
        </w:tc>
        <w:tc>
          <w:tcPr>
            <w:tcW w:w="1107"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厂内治理设施</w:t>
            </w:r>
          </w:p>
        </w:tc>
        <w:tc>
          <w:tcPr>
            <w:tcW w:w="1069"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701"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134"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生产废水</w:t>
            </w:r>
          </w:p>
        </w:tc>
        <w:tc>
          <w:tcPr>
            <w:tcW w:w="1134"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生活污水</w:t>
            </w:r>
          </w:p>
        </w:tc>
        <w:tc>
          <w:tcPr>
            <w:tcW w:w="992"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851"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107"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069"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广东富华重工制造有限公司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103320</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48180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2.717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0.102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台山市益新金属制品有限公司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0.81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台山市大成实业发展有限公司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0.108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0.011</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广东航兴机械工程配件有限公司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768</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台山市领汇五金制品有限公司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2430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台山市雷克实业有限公司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3471.3</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0.139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0.027</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台山贤广建材有限公司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960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0.040</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0.008</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广东创奥普机械有限公司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1863</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0.596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0.149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台山市南特金属科技有限公司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1728</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台山市龙电门业科技有限公司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3240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0.292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台山市天丞汽车配件有限公司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58146</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8976</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5.60</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0.18</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2"/>
                <w:sz w:val="21"/>
                <w:szCs w:val="21"/>
              </w:rPr>
            </w:pPr>
            <w:r>
              <w:rPr>
                <w:rFonts w:hint="default" w:ascii="Times New Roman" w:hAnsi="Times New Roman" w:eastAsia="宋体" w:cs="Times New Roman"/>
                <w:color w:val="000000" w:themeColor="text1"/>
                <w:spacing w:val="-1"/>
                <w:sz w:val="21"/>
                <w:szCs w:val="21"/>
              </w:rPr>
              <w:t>广东中虎新能源动力有限公司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1536</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0.3825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0.0306</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广东迪坦新能源设备有限公司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2160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0.756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0.043</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台山市中镁科技有限公司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49591.8</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25920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30.304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0.389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台山市冠兴金属制品有限公司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36000</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5400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1.512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0.227</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16</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广东家乐仕电器有限公司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12150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0.729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0.097</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广东炜创电气有限公司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324</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0.003</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台山市捷威电器有限公司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240</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9600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1.968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0.192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台山松川电器科技有限公司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11178</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3.577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0.335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沉淀池、化粪池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广东泰奇克光电科技有限公司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1918.8</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11160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0.475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0.089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生产废水过滤装置；化粪池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台山市富通达软包装材料科技有限</w:t>
            </w:r>
            <w:r>
              <w:rPr>
                <w:rFonts w:hint="default" w:ascii="Times New Roman" w:hAnsi="Times New Roman" w:eastAsia="宋体" w:cs="Times New Roman"/>
                <w:color w:val="000000" w:themeColor="text1"/>
                <w:spacing w:val="-8"/>
                <w:sz w:val="21"/>
                <w:szCs w:val="21"/>
              </w:rPr>
              <w:t>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75</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1.818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0.119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SBR废水处理系统；化粪池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新图美（台山）标签材料有限公司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372</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10462.5</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0.434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0.087</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23</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广东富安鸿利新材料有限公司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378</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0.007</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台山市丰博环保科技有限公司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124.416</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0.0249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0.0025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广东腾玻玻璃科技有限公司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9720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1.944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0.292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广东祈成玻璃钢有限公司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2916</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0.758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0.073</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江门橱梦空间橱柜有限公司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121.2</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28</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台山市中尚餐厨用品有限公司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12015</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0.36</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29</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台山市德润通食品有限公司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240</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780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0.194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广东海亮铜业有限公司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6760</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58995</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0.59</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31</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加美敦（江门）卫生护理用品有限</w:t>
            </w:r>
            <w:r>
              <w:rPr>
                <w:rFonts w:hint="default" w:ascii="Times New Roman" w:hAnsi="Times New Roman" w:eastAsia="宋体" w:cs="Times New Roman"/>
                <w:color w:val="000000" w:themeColor="text1"/>
                <w:spacing w:val="-8"/>
                <w:sz w:val="21"/>
                <w:szCs w:val="21"/>
              </w:rPr>
              <w:t>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756</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0.189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广东保昌新材料有限公司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760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0.189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0.021</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3"/>
                <w:kern w:val="0"/>
                <w:sz w:val="21"/>
                <w:szCs w:val="21"/>
              </w:rPr>
              <w:t>广东名肯科技有限公司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1008</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3"/>
                <w:kern w:val="0"/>
                <w:sz w:val="21"/>
                <w:szCs w:val="21"/>
              </w:rPr>
              <w:t>广东德旻五金制造有限公司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0.0008</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35</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广东捷先智能制造有限公司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4050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0.162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0.0201</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36</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台山市晟丰印刷塑料制品有限公司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830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0.0332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0.0042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37</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爱子优旺新材料有限公司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3024</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0.1210</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0.0151</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38</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台山市创速玩具有限公司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1440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0.0576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0.0072</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39</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广东德旻五金制造有限公司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950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0.038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0.0048</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江门市帝维嘉科技有限公司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1008</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0.0403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41</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江门市鸿吉金刚石工具有限公司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550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0.022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0.0028</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42</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深沪（江门）标准件科技有限公司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1100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0.044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0.0055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43</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江门市互展五金制品有限公司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270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0.0108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0.0014</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44</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1"/>
                <w:kern w:val="0"/>
                <w:sz w:val="21"/>
                <w:szCs w:val="21"/>
              </w:rPr>
            </w:pPr>
            <w:r>
              <w:rPr>
                <w:rFonts w:hint="default" w:ascii="Times New Roman" w:hAnsi="Times New Roman" w:eastAsia="宋体" w:cs="Times New Roman"/>
                <w:color w:val="000000" w:themeColor="text1"/>
                <w:spacing w:val="-2"/>
                <w:sz w:val="21"/>
                <w:szCs w:val="21"/>
              </w:rPr>
              <w:t>广东施捷美装饰金属有限公司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13837.5</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3240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0.196</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45</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2"/>
                <w:sz w:val="21"/>
                <w:szCs w:val="21"/>
              </w:rPr>
            </w:pPr>
            <w:r>
              <w:rPr>
                <w:rFonts w:hint="default" w:ascii="Times New Roman" w:hAnsi="Times New Roman" w:eastAsia="宋体" w:cs="Times New Roman"/>
                <w:color w:val="000000" w:themeColor="text1"/>
                <w:spacing w:val="-2"/>
                <w:sz w:val="21"/>
                <w:szCs w:val="21"/>
              </w:rPr>
              <w:t>捷力塑胶制造（台山）有限公司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3510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0.737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0.105</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46</w:t>
            </w:r>
          </w:p>
        </w:tc>
        <w:tc>
          <w:tcPr>
            <w:tcW w:w="1701" w:type="dxa"/>
            <w:shd w:val="clear" w:color="auto" w:fill="auto"/>
            <w:vAlign w:val="center"/>
          </w:tcPr>
          <w:p>
            <w:pPr>
              <w:jc w:val="center"/>
              <w:rPr>
                <w:rFonts w:hint="default" w:ascii="Times New Roman" w:hAnsi="Times New Roman" w:eastAsia="宋体" w:cs="Times New Roman"/>
                <w:color w:val="000000" w:themeColor="text1"/>
                <w:spacing w:val="-2"/>
                <w:sz w:val="21"/>
                <w:szCs w:val="21"/>
              </w:rPr>
            </w:pPr>
            <w:r>
              <w:rPr>
                <w:rFonts w:hint="default" w:ascii="Times New Roman" w:hAnsi="Times New Roman" w:eastAsia="宋体" w:cs="Times New Roman"/>
                <w:color w:val="000000" w:themeColor="text1"/>
                <w:spacing w:val="-1"/>
                <w:sz w:val="21"/>
                <w:szCs w:val="21"/>
              </w:rPr>
              <w:t>广东明聚新材料科技有限公司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270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0.0054</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合计</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270516.1</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288012.42</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81.6023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4.0814</w:t>
            </w:r>
          </w:p>
        </w:tc>
        <w:tc>
          <w:tcPr>
            <w:tcW w:w="1107"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06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bl>
    <w:p>
      <w:pPr>
        <w:pStyle w:val="70"/>
        <w:ind w:firstLine="0" w:firstLineChars="0"/>
        <w:rPr>
          <w:rFonts w:eastAsia="宋体"/>
          <w:b/>
          <w:color w:val="000000" w:themeColor="text1"/>
          <w:sz w:val="21"/>
          <w:szCs w:val="21"/>
        </w:rPr>
      </w:pPr>
      <w:r>
        <w:rPr>
          <w:rFonts w:eastAsia="宋体"/>
          <w:b/>
          <w:color w:val="000000" w:themeColor="text1"/>
          <w:sz w:val="21"/>
          <w:szCs w:val="21"/>
        </w:rPr>
        <w:t>表</w:t>
      </w:r>
      <w:r>
        <w:rPr>
          <w:rFonts w:hint="eastAsia" w:eastAsia="宋体"/>
          <w:b/>
          <w:color w:val="000000" w:themeColor="text1"/>
          <w:sz w:val="21"/>
          <w:szCs w:val="21"/>
        </w:rPr>
        <w:t>3</w:t>
      </w:r>
      <w:r>
        <w:rPr>
          <w:rFonts w:eastAsia="宋体"/>
          <w:b/>
          <w:color w:val="000000" w:themeColor="text1"/>
          <w:sz w:val="21"/>
          <w:szCs w:val="21"/>
        </w:rPr>
        <w:t>.5-2</w:t>
      </w:r>
      <w:r>
        <w:rPr>
          <w:rFonts w:hint="eastAsia" w:eastAsia="宋体"/>
          <w:b/>
          <w:color w:val="000000" w:themeColor="text1"/>
          <w:sz w:val="21"/>
          <w:szCs w:val="21"/>
        </w:rPr>
        <w:t>在建</w:t>
      </w:r>
      <w:r>
        <w:rPr>
          <w:rFonts w:eastAsia="宋体"/>
          <w:b/>
          <w:color w:val="000000" w:themeColor="text1"/>
          <w:sz w:val="21"/>
          <w:szCs w:val="21"/>
        </w:rPr>
        <w:t>企业废水排放情况一览表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701"/>
        <w:gridCol w:w="1134"/>
        <w:gridCol w:w="1134"/>
        <w:gridCol w:w="992"/>
        <w:gridCol w:w="850"/>
        <w:gridCol w:w="993"/>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序号</w:t>
            </w:r>
          </w:p>
        </w:tc>
        <w:tc>
          <w:tcPr>
            <w:tcW w:w="1701"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企业名称</w:t>
            </w:r>
          </w:p>
        </w:tc>
        <w:tc>
          <w:tcPr>
            <w:tcW w:w="2268" w:type="dxa"/>
            <w:gridSpan w:val="2"/>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废水量（m</w:t>
            </w:r>
            <w:r>
              <w:rPr>
                <w:rFonts w:hint="default" w:ascii="Times New Roman" w:hAnsi="Times New Roman" w:eastAsia="宋体" w:cs="Times New Roman"/>
                <w:b/>
                <w:color w:val="000000" w:themeColor="text1"/>
                <w:sz w:val="21"/>
                <w:szCs w:val="21"/>
                <w:vertAlign w:val="superscript"/>
              </w:rPr>
              <w:t>3</w:t>
            </w:r>
            <w:r>
              <w:rPr>
                <w:rFonts w:hint="default" w:ascii="Times New Roman" w:hAnsi="Times New Roman" w:eastAsia="宋体" w:cs="Times New Roman"/>
                <w:b/>
                <w:color w:val="000000" w:themeColor="text1"/>
                <w:sz w:val="21"/>
                <w:szCs w:val="21"/>
              </w:rPr>
              <w:t>/a）</w:t>
            </w:r>
          </w:p>
        </w:tc>
        <w:tc>
          <w:tcPr>
            <w:tcW w:w="992"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COD</w:t>
            </w:r>
          </w:p>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(t/a)</w:t>
            </w:r>
          </w:p>
        </w:tc>
        <w:tc>
          <w:tcPr>
            <w:tcW w:w="850"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氨氮(t/a)</w:t>
            </w:r>
          </w:p>
        </w:tc>
        <w:tc>
          <w:tcPr>
            <w:tcW w:w="993"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厂内治理设施</w:t>
            </w:r>
          </w:p>
        </w:tc>
        <w:tc>
          <w:tcPr>
            <w:tcW w:w="1184"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701"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134"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生产废水</w:t>
            </w:r>
          </w:p>
        </w:tc>
        <w:tc>
          <w:tcPr>
            <w:tcW w:w="1134"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生活污水</w:t>
            </w:r>
          </w:p>
        </w:tc>
        <w:tc>
          <w:tcPr>
            <w:tcW w:w="992"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850"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993"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c>
          <w:tcPr>
            <w:tcW w:w="1184" w:type="dxa"/>
            <w:vMerge w:val="continue"/>
            <w:shd w:val="clear" w:color="auto" w:fill="auto"/>
            <w:vAlign w:val="center"/>
          </w:tcPr>
          <w:p>
            <w:pPr>
              <w:widowControl/>
              <w:jc w:val="center"/>
              <w:rPr>
                <w:rFonts w:hint="default" w:ascii="Times New Roman" w:hAnsi="Times New Roman" w:eastAsia="宋体"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广东昌凯精工科技有限公司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1080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0.259</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0.022</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广东宇宙门业有限公司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9720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3.11</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0.292</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kern w:val="0"/>
                <w:sz w:val="21"/>
                <w:szCs w:val="21"/>
              </w:rPr>
              <w:t>广东新达新金属材料科技有限公司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338520</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20961.85</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14.3793</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1.7974</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kern w:val="0"/>
                <w:sz w:val="21"/>
                <w:szCs w:val="21"/>
              </w:rPr>
              <w:t>广东依恳丰热能设备有限公司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960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0.0384</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0.0048</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kern w:val="0"/>
                <w:sz w:val="21"/>
                <w:szCs w:val="21"/>
              </w:rPr>
              <w:t>广东朴薪材料科技有限公司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2086</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0.0834</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0.0104</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6</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kern w:val="0"/>
                <w:sz w:val="21"/>
                <w:szCs w:val="21"/>
              </w:rPr>
              <w:t>江门市鑫兰港新材料科技有限公司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302.4</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0.0121</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0.0015</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w:t>
            </w:r>
          </w:p>
        </w:tc>
        <w:tc>
          <w:tcPr>
            <w:tcW w:w="17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lang w:val="en-US" w:eastAsia="zh-CN"/>
              </w:rPr>
              <w:t>玺俊（广东）生物科技有限公司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2565</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900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0.1386</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0.0173</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生产废水处理站；化粪池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w:t>
            </w:r>
          </w:p>
        </w:tc>
        <w:tc>
          <w:tcPr>
            <w:tcW w:w="1701" w:type="dxa"/>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pacing w:val="-1"/>
                <w:sz w:val="21"/>
                <w:szCs w:val="21"/>
              </w:rPr>
              <w:t>广东青绿圆农业科技有限公司</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830</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0.0332</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0.0042</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化粪池</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水步污水处理厂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合计</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341085</w:t>
            </w:r>
          </w:p>
        </w:tc>
        <w:tc>
          <w:tcPr>
            <w:tcW w:w="1134"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36840.25</w:t>
            </w:r>
          </w:p>
        </w:tc>
        <w:tc>
          <w:tcPr>
            <w:tcW w:w="992"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18.054</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2.1496</w:t>
            </w:r>
          </w:p>
        </w:tc>
        <w:tc>
          <w:tcPr>
            <w:tcW w:w="993"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184"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bl>
    <w:p>
      <w:pPr>
        <w:spacing w:line="360" w:lineRule="auto"/>
        <w:ind w:firstLine="480" w:firstLineChars="200"/>
        <w:rPr>
          <w:rFonts w:ascii="Times New Roman" w:hAnsi="Times New Roman"/>
          <w:color w:val="000000" w:themeColor="text1"/>
          <w:sz w:val="24"/>
        </w:rPr>
      </w:pPr>
      <w:r>
        <w:rPr>
          <w:rFonts w:hint="eastAsia" w:ascii="Times New Roman" w:hAnsi="Times New Roman"/>
          <w:color w:val="000000" w:themeColor="text1"/>
          <w:sz w:val="24"/>
        </w:rPr>
        <w:t>园区目前进驻企业（含已投产和在建）的生产废水产生量为</w:t>
      </w:r>
      <w:r>
        <w:rPr>
          <w:rFonts w:hint="eastAsia" w:ascii="Times New Roman" w:hAnsi="Times New Roman"/>
          <w:color w:val="000000" w:themeColor="text1"/>
          <w:sz w:val="24"/>
          <w:lang w:val="en-US" w:eastAsia="zh-CN"/>
        </w:rPr>
        <w:t>270516.1</w:t>
      </w:r>
      <w:r>
        <w:rPr>
          <w:rFonts w:hint="eastAsia" w:ascii="Times New Roman" w:hAnsi="Times New Roman"/>
          <w:color w:val="000000" w:themeColor="text1"/>
          <w:sz w:val="24"/>
        </w:rPr>
        <w:t>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/a，生活污水产生量为</w:t>
      </w:r>
      <w:r>
        <w:rPr>
          <w:rFonts w:hint="eastAsia" w:ascii="Times New Roman" w:hAnsi="Times New Roman"/>
          <w:color w:val="000000" w:themeColor="text1"/>
          <w:sz w:val="24"/>
          <w:lang w:val="en-US" w:eastAsia="zh-CN"/>
        </w:rPr>
        <w:t>324852.666</w:t>
      </w:r>
      <w:r>
        <w:rPr>
          <w:rFonts w:hint="eastAsia" w:ascii="Times New Roman" w:hAnsi="Times New Roman"/>
          <w:color w:val="000000" w:themeColor="text1"/>
          <w:sz w:val="24"/>
        </w:rPr>
        <w:t>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/a，合计废水产生量为</w:t>
      </w:r>
      <w:r>
        <w:rPr>
          <w:rFonts w:hint="eastAsia" w:ascii="Times New Roman" w:hAnsi="Times New Roman"/>
          <w:color w:val="000000" w:themeColor="text1"/>
          <w:sz w:val="24"/>
          <w:lang w:val="en-US" w:eastAsia="zh-CN"/>
        </w:rPr>
        <w:t>595368.766</w:t>
      </w:r>
      <w:r>
        <w:rPr>
          <w:rFonts w:hint="eastAsia" w:ascii="Times New Roman" w:hAnsi="Times New Roman"/>
          <w:color w:val="000000" w:themeColor="text1"/>
          <w:sz w:val="24"/>
        </w:rPr>
        <w:t>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/a，排入市政污水管网的COD量</w:t>
      </w:r>
      <w:r>
        <w:rPr>
          <w:rFonts w:hint="eastAsia" w:ascii="Times New Roman" w:hAnsi="Times New Roman"/>
          <w:color w:val="000000" w:themeColor="text1"/>
          <w:sz w:val="24"/>
          <w:lang w:val="en-US" w:eastAsia="zh-CN"/>
        </w:rPr>
        <w:t>99.6563</w:t>
      </w:r>
      <w:r>
        <w:rPr>
          <w:rFonts w:hint="eastAsia" w:ascii="Times New Roman" w:hAnsi="Times New Roman"/>
          <w:color w:val="000000" w:themeColor="text1"/>
          <w:sz w:val="24"/>
        </w:rPr>
        <w:t>t/a，NH</w:t>
      </w:r>
      <w:r>
        <w:rPr>
          <w:rFonts w:hint="eastAsia" w:ascii="Times New Roman" w:hAnsi="Times New Roman"/>
          <w:color w:val="000000" w:themeColor="text1"/>
          <w:sz w:val="24"/>
          <w:vertAlign w:val="subscript"/>
        </w:rPr>
        <w:t>3</w:t>
      </w:r>
      <w:r>
        <w:rPr>
          <w:rFonts w:hint="eastAsia" w:ascii="Times New Roman" w:hAnsi="Times New Roman"/>
          <w:color w:val="000000" w:themeColor="text1"/>
          <w:sz w:val="24"/>
        </w:rPr>
        <w:t>-N量为</w:t>
      </w:r>
      <w:r>
        <w:rPr>
          <w:rFonts w:hint="eastAsia" w:ascii="Times New Roman" w:hAnsi="Times New Roman"/>
          <w:color w:val="000000" w:themeColor="text1"/>
          <w:sz w:val="24"/>
          <w:lang w:val="en-US" w:eastAsia="zh-CN"/>
        </w:rPr>
        <w:t>6.231</w:t>
      </w:r>
      <w:r>
        <w:rPr>
          <w:rFonts w:hint="eastAsia" w:ascii="Times New Roman" w:hAnsi="Times New Roman"/>
          <w:color w:val="000000" w:themeColor="text1"/>
          <w:sz w:val="24"/>
        </w:rPr>
        <w:t>t/a。对比《江门产业转移工业园台山园区环境影响报告书》园区废水产生量为770369m</w:t>
      </w:r>
      <w:r>
        <w:rPr>
          <w:rFonts w:hint="eastAsia" w:ascii="Times New Roman" w:hAnsi="Times New Roman"/>
          <w:color w:val="000000" w:themeColor="text1"/>
          <w:sz w:val="24"/>
          <w:vertAlign w:val="superscript"/>
        </w:rPr>
        <w:t>3</w:t>
      </w:r>
      <w:r>
        <w:rPr>
          <w:rFonts w:hint="eastAsia" w:ascii="Times New Roman" w:hAnsi="Times New Roman"/>
          <w:color w:val="000000" w:themeColor="text1"/>
          <w:sz w:val="24"/>
        </w:rPr>
        <w:t>/a，COD量208.41t/a，NH</w:t>
      </w:r>
      <w:r>
        <w:rPr>
          <w:rFonts w:hint="eastAsia" w:ascii="Times New Roman" w:hAnsi="Times New Roman"/>
          <w:color w:val="000000" w:themeColor="text1"/>
          <w:sz w:val="24"/>
          <w:vertAlign w:val="subscript"/>
        </w:rPr>
        <w:t>3</w:t>
      </w:r>
      <w:r>
        <w:rPr>
          <w:rFonts w:hint="eastAsia" w:ascii="Times New Roman" w:hAnsi="Times New Roman"/>
          <w:color w:val="000000" w:themeColor="text1"/>
          <w:sz w:val="24"/>
        </w:rPr>
        <w:t>-N量为20.84t/a，均未超出总量。COD产生量与原规划环评相应总量占比约</w:t>
      </w:r>
      <w:r>
        <w:rPr>
          <w:rFonts w:ascii="Times New Roman" w:hAnsi="Times New Roman"/>
          <w:color w:val="000000" w:themeColor="text1"/>
          <w:sz w:val="24"/>
        </w:rPr>
        <w:t>4</w:t>
      </w:r>
      <w:r>
        <w:rPr>
          <w:rFonts w:hint="eastAsia" w:ascii="Times New Roman" w:hAnsi="Times New Roman"/>
          <w:color w:val="000000" w:themeColor="text1"/>
          <w:sz w:val="24"/>
          <w:lang w:val="en-US" w:eastAsia="zh-CN"/>
        </w:rPr>
        <w:t>8</w:t>
      </w:r>
      <w:r>
        <w:rPr>
          <w:rFonts w:hint="eastAsia" w:ascii="Times New Roman" w:hAnsi="Times New Roman"/>
          <w:color w:val="000000" w:themeColor="text1"/>
          <w:sz w:val="24"/>
        </w:rPr>
        <w:t>%， NH</w:t>
      </w:r>
      <w:r>
        <w:rPr>
          <w:rFonts w:hint="eastAsia" w:ascii="Times New Roman" w:hAnsi="Times New Roman"/>
          <w:color w:val="000000" w:themeColor="text1"/>
          <w:sz w:val="24"/>
          <w:vertAlign w:val="subscript"/>
        </w:rPr>
        <w:t>3</w:t>
      </w:r>
      <w:r>
        <w:rPr>
          <w:rFonts w:hint="eastAsia" w:ascii="Times New Roman" w:hAnsi="Times New Roman"/>
          <w:color w:val="000000" w:themeColor="text1"/>
          <w:sz w:val="24"/>
        </w:rPr>
        <w:t>-N产生量与原规划环评相应总量占比约</w:t>
      </w:r>
      <w:r>
        <w:rPr>
          <w:rFonts w:hint="eastAsia" w:ascii="Times New Roman" w:hAnsi="Times New Roman"/>
          <w:color w:val="000000" w:themeColor="text1"/>
          <w:sz w:val="24"/>
          <w:lang w:val="en-US" w:eastAsia="zh-CN"/>
        </w:rPr>
        <w:t>30</w:t>
      </w:r>
      <w:r>
        <w:rPr>
          <w:rFonts w:hint="eastAsia" w:ascii="Times New Roman" w:hAnsi="Times New Roman"/>
          <w:color w:val="000000" w:themeColor="text1"/>
          <w:sz w:val="24"/>
        </w:rPr>
        <w:t>%。</w:t>
      </w:r>
    </w:p>
    <w:p>
      <w:pPr>
        <w:pStyle w:val="15"/>
      </w:pPr>
      <w:bookmarkStart w:id="32" w:name="_Toc97912854"/>
      <w:r>
        <w:rPr>
          <w:rFonts w:hint="eastAsia"/>
        </w:rPr>
        <w:t>3</w:t>
      </w:r>
      <w:r>
        <w:t>.5.2废气排放情况</w:t>
      </w:r>
      <w:bookmarkEnd w:id="32"/>
    </w:p>
    <w:p>
      <w:pPr>
        <w:spacing w:line="360" w:lineRule="auto"/>
        <w:ind w:firstLine="480" w:firstLineChars="200"/>
      </w:pPr>
      <w:r>
        <w:rPr>
          <w:rFonts w:hint="eastAsia" w:ascii="Times New Roman" w:hAnsi="Times New Roman"/>
          <w:sz w:val="24"/>
        </w:rPr>
        <w:t>根据对园区已建企业的调查，园区内现有企业废气排放情况见下表所示：</w:t>
      </w:r>
    </w:p>
    <w:p>
      <w:pPr>
        <w:pStyle w:val="70"/>
        <w:ind w:firstLine="0" w:firstLineChars="0"/>
        <w:rPr>
          <w:rFonts w:eastAsia="宋体"/>
        </w:rPr>
      </w:pPr>
      <w:r>
        <w:rPr>
          <w:rFonts w:eastAsia="宋体"/>
          <w:b/>
          <w:sz w:val="21"/>
          <w:szCs w:val="21"/>
        </w:rPr>
        <w:t>表</w:t>
      </w:r>
      <w:r>
        <w:rPr>
          <w:rFonts w:hint="eastAsia" w:eastAsia="宋体"/>
          <w:b/>
          <w:sz w:val="21"/>
          <w:szCs w:val="21"/>
        </w:rPr>
        <w:t>3</w:t>
      </w:r>
      <w:r>
        <w:rPr>
          <w:rFonts w:eastAsia="宋体"/>
          <w:b/>
          <w:sz w:val="21"/>
          <w:szCs w:val="21"/>
        </w:rPr>
        <w:t>.5-3已投产企业废</w:t>
      </w:r>
      <w:r>
        <w:rPr>
          <w:rFonts w:hint="eastAsia" w:eastAsia="宋体"/>
          <w:b/>
          <w:sz w:val="21"/>
          <w:szCs w:val="21"/>
        </w:rPr>
        <w:t>气</w:t>
      </w:r>
      <w:r>
        <w:rPr>
          <w:rFonts w:eastAsia="宋体"/>
          <w:b/>
          <w:sz w:val="21"/>
          <w:szCs w:val="21"/>
        </w:rPr>
        <w:t>排放情况一览表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429"/>
        <w:gridCol w:w="1079"/>
        <w:gridCol w:w="709"/>
        <w:gridCol w:w="851"/>
        <w:gridCol w:w="850"/>
        <w:gridCol w:w="851"/>
        <w:gridCol w:w="708"/>
        <w:gridCol w:w="709"/>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序号</w:t>
            </w:r>
          </w:p>
        </w:tc>
        <w:tc>
          <w:tcPr>
            <w:tcW w:w="1429"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企业名称</w:t>
            </w:r>
          </w:p>
        </w:tc>
        <w:tc>
          <w:tcPr>
            <w:tcW w:w="3489" w:type="dxa"/>
            <w:gridSpan w:val="4"/>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有组织</w:t>
            </w:r>
          </w:p>
        </w:tc>
        <w:tc>
          <w:tcPr>
            <w:tcW w:w="3169" w:type="dxa"/>
            <w:gridSpan w:val="4"/>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 w:type="dxa"/>
            <w:vMerge w:val="continue"/>
            <w:shd w:val="clear" w:color="auto" w:fill="auto"/>
            <w:vAlign w:val="center"/>
          </w:tcPr>
          <w:p>
            <w:pPr>
              <w:widowControl/>
              <w:jc w:val="center"/>
              <w:rPr>
                <w:rFonts w:hint="default" w:ascii="Times New Roman" w:hAnsi="Times New Roman" w:eastAsia="宋体" w:cs="Times New Roman"/>
                <w:b/>
                <w:color w:val="000000" w:themeColor="text1"/>
                <w:sz w:val="21"/>
                <w:szCs w:val="21"/>
              </w:rPr>
            </w:pPr>
          </w:p>
        </w:tc>
        <w:tc>
          <w:tcPr>
            <w:tcW w:w="1429" w:type="dxa"/>
            <w:vMerge w:val="continue"/>
            <w:shd w:val="clear" w:color="auto" w:fill="auto"/>
            <w:vAlign w:val="center"/>
          </w:tcPr>
          <w:p>
            <w:pPr>
              <w:widowControl/>
              <w:jc w:val="center"/>
              <w:rPr>
                <w:rFonts w:hint="default" w:ascii="Times New Roman" w:hAnsi="Times New Roman" w:eastAsia="宋体" w:cs="Times New Roman"/>
                <w:b/>
                <w:color w:val="000000" w:themeColor="text1"/>
                <w:sz w:val="21"/>
                <w:szCs w:val="21"/>
              </w:rPr>
            </w:pPr>
          </w:p>
        </w:tc>
        <w:tc>
          <w:tcPr>
            <w:tcW w:w="1079"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颗粒物</w:t>
            </w:r>
          </w:p>
        </w:tc>
        <w:tc>
          <w:tcPr>
            <w:tcW w:w="709"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二氧化硫</w:t>
            </w:r>
          </w:p>
        </w:tc>
        <w:tc>
          <w:tcPr>
            <w:tcW w:w="851"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氮氧化物</w:t>
            </w:r>
          </w:p>
        </w:tc>
        <w:tc>
          <w:tcPr>
            <w:tcW w:w="850"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VOCs</w:t>
            </w:r>
          </w:p>
        </w:tc>
        <w:tc>
          <w:tcPr>
            <w:tcW w:w="851"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颗粒物</w:t>
            </w:r>
          </w:p>
        </w:tc>
        <w:tc>
          <w:tcPr>
            <w:tcW w:w="708"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二氧化硫</w:t>
            </w:r>
          </w:p>
        </w:tc>
        <w:tc>
          <w:tcPr>
            <w:tcW w:w="709"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氮氧化物</w:t>
            </w:r>
          </w:p>
        </w:tc>
        <w:tc>
          <w:tcPr>
            <w:tcW w:w="901"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广东富华重工制造有限公司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16.377</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0.329</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1.676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1.78</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台山市益新金属制品有限公司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0.025</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0.051</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台山市大成实业发展有限公司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0.003</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广东航兴机械工程配件有限公司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5.6</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台山市领汇五金制品有限公司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1.104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台山市雷克实业有限公司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0.045</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0.092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0.207</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台山贤广建材有限公司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0.952</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0.607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广东创奥普机械有限公司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0.151</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0.141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0.423</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台山市南特金属科技有限公司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13.74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0.036</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台山市龙电门业科技有限公司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1.584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0.102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台山市天丞汽车配件有限公司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3.86</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0.499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2.439</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2.178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广东中虎新能源动力有限公司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0.606</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0.247</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0.244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0.635</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广东迪坦新能源设备有限公司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台山市中镁科技有限公司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4.593</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0.709</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台山市冠兴金属制品有限公司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0.116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0.694</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0.082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0.027</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广东家乐仕电器有限公司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0.374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17</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广东炜创电气有限公司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0.081</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台山市捷丰电机有限公司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0.095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台山松川电器科技有限公司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0.077</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0.095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0.237</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广东泰奇克光电科技有限公司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0.554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0.336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21</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台山市富通达软包装材料科技有限</w:t>
            </w:r>
            <w:r>
              <w:rPr>
                <w:rFonts w:hint="default" w:ascii="Times New Roman" w:hAnsi="Times New Roman" w:eastAsia="宋体" w:cs="Times New Roman"/>
                <w:color w:val="000000" w:themeColor="text1"/>
                <w:spacing w:val="-8"/>
                <w:sz w:val="21"/>
                <w:szCs w:val="21"/>
              </w:rPr>
              <w:t>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1.92</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0.295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22</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新图美（台山）标签材料有限公司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0.177</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0.703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3.407</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0.675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23</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广东富安鸿利新材料有限公司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0.001</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0.195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0.015</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24</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台山市丰博环保科技有限公司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0.152</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0.518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0.169</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25</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广东腾玻玻璃科技有限公司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26</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广东祈成玻璃钢有限公司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0.067</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27</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江门橱梦空间橱柜有限公司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0.033</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0.061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0.059</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28</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台山市中尚餐厨用品有限公司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0.061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29</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台山市德润通食品有限公司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0.612</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广东海亮铜业有限公司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2.504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0.462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0.684</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31</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加美敦（江门）卫生护理用品有限</w:t>
            </w:r>
            <w:r>
              <w:rPr>
                <w:rFonts w:hint="default" w:ascii="Times New Roman" w:hAnsi="Times New Roman" w:eastAsia="宋体" w:cs="Times New Roman"/>
                <w:color w:val="000000" w:themeColor="text1"/>
                <w:spacing w:val="-8"/>
                <w:sz w:val="21"/>
                <w:szCs w:val="21"/>
              </w:rPr>
              <w:t>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w:t>
            </w:r>
          </w:p>
        </w:tc>
        <w:tc>
          <w:tcPr>
            <w:tcW w:w="142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广东保昌新材料有限公司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33</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3"/>
                <w:kern w:val="0"/>
                <w:sz w:val="21"/>
                <w:szCs w:val="21"/>
              </w:rPr>
              <w:t>广东名肯科技有限公司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0.0279</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0.0032</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34</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3"/>
                <w:kern w:val="0"/>
                <w:sz w:val="21"/>
                <w:szCs w:val="21"/>
              </w:rPr>
              <w:t>广东德旻五金制造有限公司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35</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广东捷先智能制造有限公司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0.0002</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0.0085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0.0001</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36</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台山市晟丰印刷塑料制品有限公司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37</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爱子优旺新材料有限公司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0.166</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38</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台山市创速玩具有限公司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0.073</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39</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广东德旻五金制造有限公司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江门市帝维嘉科技有限公司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41</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江门市鸿吉金刚石工具有限公司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42</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深沪（江门）标准件科技有限公司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43</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kern w:val="0"/>
                <w:sz w:val="21"/>
                <w:szCs w:val="21"/>
              </w:rPr>
              <w:t>江门市互展五金制品有限公司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0.032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44</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z w:val="21"/>
                <w:szCs w:val="21"/>
              </w:rPr>
              <w:t>广东施捷美装饰金属有限公司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0.054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0.111</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0.22</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45</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z w:val="21"/>
                <w:szCs w:val="21"/>
              </w:rPr>
              <w:t>捷力塑胶制造（台山）有限公司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0.605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46</w:t>
            </w:r>
          </w:p>
        </w:tc>
        <w:tc>
          <w:tcPr>
            <w:tcW w:w="1429" w:type="dxa"/>
            <w:shd w:val="clear" w:color="auto" w:fill="auto"/>
            <w:vAlign w:val="center"/>
          </w:tcPr>
          <w:p>
            <w:pPr>
              <w:jc w:val="center"/>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z w:val="21"/>
                <w:szCs w:val="21"/>
              </w:rPr>
              <w:t>广东明聚新材料科技有限公司</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0.0032</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0.1358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0.035</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4" w:type="dxa"/>
            <w:gridSpan w:val="2"/>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合计</w:t>
            </w:r>
          </w:p>
        </w:tc>
        <w:tc>
          <w:tcPr>
            <w:tcW w:w="107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47.2304</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3.092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10.4</w:t>
            </w:r>
            <w:r>
              <w:rPr>
                <w:rFonts w:hint="default"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9</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9.1682</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10.1523</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0.02</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0.15</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7.7353</w:t>
            </w:r>
          </w:p>
        </w:tc>
      </w:tr>
    </w:tbl>
    <w:p>
      <w:pPr>
        <w:pStyle w:val="70"/>
        <w:ind w:firstLine="0" w:firstLineChars="0"/>
        <w:rPr>
          <w:rFonts w:eastAsia="宋体"/>
          <w:b/>
          <w:sz w:val="21"/>
          <w:szCs w:val="21"/>
        </w:rPr>
      </w:pPr>
    </w:p>
    <w:p>
      <w:pPr>
        <w:pStyle w:val="70"/>
        <w:ind w:firstLine="0" w:firstLineChars="0"/>
        <w:rPr>
          <w:rFonts w:eastAsia="宋体"/>
          <w:b/>
          <w:sz w:val="21"/>
          <w:szCs w:val="21"/>
        </w:rPr>
      </w:pPr>
    </w:p>
    <w:p>
      <w:pPr>
        <w:pStyle w:val="70"/>
        <w:ind w:firstLine="0" w:firstLineChars="0"/>
        <w:rPr>
          <w:rFonts w:eastAsia="宋体"/>
        </w:rPr>
      </w:pPr>
      <w:r>
        <w:rPr>
          <w:rFonts w:eastAsia="宋体"/>
          <w:b/>
          <w:sz w:val="21"/>
          <w:szCs w:val="21"/>
        </w:rPr>
        <w:t>表</w:t>
      </w:r>
      <w:r>
        <w:rPr>
          <w:rFonts w:hint="eastAsia" w:eastAsia="宋体"/>
          <w:b/>
          <w:sz w:val="21"/>
          <w:szCs w:val="21"/>
        </w:rPr>
        <w:t>3</w:t>
      </w:r>
      <w:r>
        <w:rPr>
          <w:rFonts w:eastAsia="宋体"/>
          <w:b/>
          <w:sz w:val="21"/>
          <w:szCs w:val="21"/>
        </w:rPr>
        <w:t>.5-4</w:t>
      </w:r>
      <w:r>
        <w:rPr>
          <w:rFonts w:hint="eastAsia" w:eastAsia="宋体"/>
          <w:b/>
          <w:sz w:val="21"/>
          <w:szCs w:val="21"/>
        </w:rPr>
        <w:t>在建</w:t>
      </w:r>
      <w:r>
        <w:rPr>
          <w:rFonts w:eastAsia="宋体"/>
          <w:b/>
          <w:sz w:val="21"/>
          <w:szCs w:val="21"/>
        </w:rPr>
        <w:t>企业</w:t>
      </w:r>
      <w:r>
        <w:rPr>
          <w:rFonts w:hint="eastAsia" w:eastAsia="宋体"/>
          <w:b/>
          <w:sz w:val="21"/>
          <w:szCs w:val="21"/>
        </w:rPr>
        <w:t>废气</w:t>
      </w:r>
      <w:r>
        <w:rPr>
          <w:rFonts w:eastAsia="宋体"/>
          <w:b/>
          <w:sz w:val="21"/>
          <w:szCs w:val="21"/>
        </w:rPr>
        <w:t>排放情况一览表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516"/>
        <w:gridCol w:w="895"/>
        <w:gridCol w:w="806"/>
        <w:gridCol w:w="851"/>
        <w:gridCol w:w="850"/>
        <w:gridCol w:w="851"/>
        <w:gridCol w:w="708"/>
        <w:gridCol w:w="709"/>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序号</w:t>
            </w:r>
          </w:p>
        </w:tc>
        <w:tc>
          <w:tcPr>
            <w:tcW w:w="1516" w:type="dxa"/>
            <w:vMerge w:val="restart"/>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企业名称</w:t>
            </w:r>
          </w:p>
        </w:tc>
        <w:tc>
          <w:tcPr>
            <w:tcW w:w="3402" w:type="dxa"/>
            <w:gridSpan w:val="4"/>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有组织</w:t>
            </w:r>
          </w:p>
        </w:tc>
        <w:tc>
          <w:tcPr>
            <w:tcW w:w="3169" w:type="dxa"/>
            <w:gridSpan w:val="4"/>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5" w:type="dxa"/>
            <w:vMerge w:val="continue"/>
            <w:shd w:val="clear" w:color="auto" w:fill="auto"/>
            <w:vAlign w:val="center"/>
          </w:tcPr>
          <w:p>
            <w:pPr>
              <w:widowControl/>
              <w:jc w:val="center"/>
              <w:rPr>
                <w:rFonts w:hint="default" w:ascii="Times New Roman" w:hAnsi="Times New Roman" w:eastAsia="宋体" w:cs="Times New Roman"/>
                <w:b/>
                <w:color w:val="000000" w:themeColor="text1"/>
                <w:sz w:val="21"/>
                <w:szCs w:val="21"/>
              </w:rPr>
            </w:pPr>
          </w:p>
        </w:tc>
        <w:tc>
          <w:tcPr>
            <w:tcW w:w="1516" w:type="dxa"/>
            <w:vMerge w:val="continue"/>
            <w:shd w:val="clear" w:color="auto" w:fill="auto"/>
            <w:vAlign w:val="center"/>
          </w:tcPr>
          <w:p>
            <w:pPr>
              <w:widowControl/>
              <w:jc w:val="center"/>
              <w:rPr>
                <w:rFonts w:hint="default" w:ascii="Times New Roman" w:hAnsi="Times New Roman" w:eastAsia="宋体" w:cs="Times New Roman"/>
                <w:b/>
                <w:color w:val="000000" w:themeColor="text1"/>
                <w:sz w:val="21"/>
                <w:szCs w:val="21"/>
              </w:rPr>
            </w:pPr>
          </w:p>
        </w:tc>
        <w:tc>
          <w:tcPr>
            <w:tcW w:w="895"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颗粒物</w:t>
            </w:r>
          </w:p>
        </w:tc>
        <w:tc>
          <w:tcPr>
            <w:tcW w:w="806"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二氧化硫</w:t>
            </w:r>
          </w:p>
        </w:tc>
        <w:tc>
          <w:tcPr>
            <w:tcW w:w="851"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氮氧化物</w:t>
            </w:r>
          </w:p>
        </w:tc>
        <w:tc>
          <w:tcPr>
            <w:tcW w:w="850"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VOCs</w:t>
            </w:r>
          </w:p>
        </w:tc>
        <w:tc>
          <w:tcPr>
            <w:tcW w:w="851"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颗粒物</w:t>
            </w:r>
          </w:p>
        </w:tc>
        <w:tc>
          <w:tcPr>
            <w:tcW w:w="708"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二氧化硫</w:t>
            </w:r>
          </w:p>
        </w:tc>
        <w:tc>
          <w:tcPr>
            <w:tcW w:w="709"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氮氧化物</w:t>
            </w:r>
          </w:p>
        </w:tc>
        <w:tc>
          <w:tcPr>
            <w:tcW w:w="901" w:type="dxa"/>
            <w:shd w:val="clear" w:color="auto" w:fill="auto"/>
            <w:vAlign w:val="center"/>
          </w:tcPr>
          <w:p>
            <w:pPr>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VOCs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广东昌凯精工科技有限公司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0.042</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广东宇宙门业有限公司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0.454</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0.97</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0.649</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kern w:val="0"/>
                <w:sz w:val="21"/>
                <w:szCs w:val="21"/>
              </w:rPr>
              <w:t>广东新达新金属材料科技有限公司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46.409</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22.144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74.238</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31.237</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0.081</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kern w:val="0"/>
                <w:sz w:val="21"/>
                <w:szCs w:val="21"/>
              </w:rPr>
              <w:t>广东依恳丰热能设备有限公司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kern w:val="0"/>
                <w:sz w:val="21"/>
                <w:szCs w:val="21"/>
              </w:rPr>
              <w:t>广东朴薪材料科技有限公司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kern w:val="0"/>
                <w:sz w:val="21"/>
                <w:szCs w:val="21"/>
              </w:rPr>
              <w:t>江门市鑫兰港新材料科技有限公司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0.0075</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0.135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0.75</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7</w:t>
            </w:r>
          </w:p>
        </w:tc>
        <w:tc>
          <w:tcPr>
            <w:tcW w:w="1516"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lang w:val="en-US" w:eastAsia="zh-CN"/>
              </w:rPr>
              <w:t>玺俊（广东）生物科技有限公司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0.204</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1.224</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0.013</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8</w:t>
            </w:r>
          </w:p>
        </w:tc>
        <w:tc>
          <w:tcPr>
            <w:tcW w:w="1516" w:type="dxa"/>
            <w:shd w:val="clear" w:color="auto" w:fill="auto"/>
            <w:vAlign w:val="center"/>
          </w:tcPr>
          <w:p>
            <w:pPr>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pacing w:val="-1"/>
                <w:sz w:val="21"/>
                <w:szCs w:val="21"/>
              </w:rPr>
              <w:t>广东青绿圆农业科技有限公司</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1" w:type="dxa"/>
            <w:gridSpan w:val="2"/>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合计</w:t>
            </w:r>
          </w:p>
        </w:tc>
        <w:tc>
          <w:tcPr>
            <w:tcW w:w="895"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46.8705</w:t>
            </w:r>
          </w:p>
        </w:tc>
        <w:tc>
          <w:tcPr>
            <w:tcW w:w="806"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22.348</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75.462</w:t>
            </w:r>
          </w:p>
        </w:tc>
        <w:tc>
          <w:tcPr>
            <w:tcW w:w="850"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1.105</w:t>
            </w:r>
          </w:p>
        </w:tc>
        <w:tc>
          <w:tcPr>
            <w:tcW w:w="85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32.691</w:t>
            </w:r>
          </w:p>
        </w:tc>
        <w:tc>
          <w:tcPr>
            <w:tcW w:w="708" w:type="dxa"/>
            <w:shd w:val="clear" w:color="auto" w:fill="auto"/>
            <w:vAlign w:val="center"/>
          </w:tcPr>
          <w:p>
            <w:pPr>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9"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0.081</w:t>
            </w:r>
          </w:p>
        </w:tc>
        <w:tc>
          <w:tcPr>
            <w:tcW w:w="901" w:type="dxa"/>
            <w:shd w:val="clear" w:color="auto" w:fill="auto"/>
            <w:vAlign w:val="center"/>
          </w:tcPr>
          <w:p>
            <w:pPr>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0.697</w:t>
            </w:r>
          </w:p>
        </w:tc>
      </w:tr>
    </w:tbl>
    <w:p>
      <w:pPr>
        <w:spacing w:line="360" w:lineRule="auto"/>
        <w:ind w:firstLine="480" w:firstLineChars="200"/>
      </w:pPr>
      <w:r>
        <w:rPr>
          <w:rFonts w:hint="eastAsia" w:ascii="Times New Roman" w:hAnsi="Times New Roman"/>
          <w:sz w:val="24"/>
        </w:rPr>
        <w:t>根据上表数据，入驻企业（含已投产和在建）产生的有组织和无组织废气排放中，SO</w:t>
      </w:r>
      <w:r>
        <w:rPr>
          <w:rFonts w:hint="eastAsia" w:ascii="Times New Roman" w:hAnsi="Times New Roman"/>
          <w:sz w:val="24"/>
          <w:vertAlign w:val="subscript"/>
        </w:rPr>
        <w:t>2</w:t>
      </w:r>
      <w:r>
        <w:rPr>
          <w:rFonts w:hint="eastAsia" w:ascii="Times New Roman" w:hAnsi="Times New Roman"/>
          <w:sz w:val="24"/>
        </w:rPr>
        <w:t>总排放量为</w:t>
      </w:r>
      <w:r>
        <w:rPr>
          <w:rFonts w:hint="eastAsia" w:ascii="Times New Roman" w:hAnsi="Times New Roman"/>
          <w:sz w:val="24"/>
          <w:lang w:val="en-US" w:eastAsia="zh-CN"/>
        </w:rPr>
        <w:t>25.46</w:t>
      </w:r>
      <w:r>
        <w:rPr>
          <w:rFonts w:hint="eastAsia" w:ascii="Times New Roman" w:hAnsi="Times New Roman"/>
          <w:sz w:val="24"/>
        </w:rPr>
        <w:t>t/a，NO</w:t>
      </w:r>
      <w:r>
        <w:rPr>
          <w:rFonts w:hint="eastAsia" w:ascii="Times New Roman" w:hAnsi="Times New Roman"/>
          <w:sz w:val="24"/>
          <w:vertAlign w:val="subscript"/>
        </w:rPr>
        <w:t>X</w:t>
      </w:r>
      <w:r>
        <w:rPr>
          <w:rFonts w:hint="eastAsia" w:ascii="Times New Roman" w:hAnsi="Times New Roman"/>
          <w:sz w:val="24"/>
        </w:rPr>
        <w:t>总排放量为</w:t>
      </w:r>
      <w:r>
        <w:rPr>
          <w:rFonts w:hint="eastAsia" w:ascii="Times New Roman" w:hAnsi="Times New Roman"/>
          <w:sz w:val="24"/>
          <w:lang w:val="en-US" w:eastAsia="zh-CN"/>
        </w:rPr>
        <w:t>86.112</w:t>
      </w:r>
      <w:r>
        <w:rPr>
          <w:rFonts w:hint="eastAsia" w:ascii="Times New Roman" w:hAnsi="Times New Roman"/>
          <w:sz w:val="24"/>
        </w:rPr>
        <w:t>t/a，颗粒物总排放量为</w:t>
      </w:r>
      <w:r>
        <w:rPr>
          <w:rFonts w:hint="eastAsia" w:ascii="Times New Roman" w:hAnsi="Times New Roman"/>
          <w:sz w:val="24"/>
          <w:lang w:val="en-US" w:eastAsia="zh-CN"/>
        </w:rPr>
        <w:t>136.9442</w:t>
      </w:r>
      <w:r>
        <w:rPr>
          <w:rFonts w:hint="eastAsia" w:ascii="Times New Roman" w:hAnsi="Times New Roman"/>
          <w:sz w:val="24"/>
        </w:rPr>
        <w:t>t/a，VOCs总排放量为</w:t>
      </w:r>
      <w:r>
        <w:rPr>
          <w:rFonts w:hint="eastAsia" w:ascii="Times New Roman" w:hAnsi="Times New Roman"/>
          <w:sz w:val="24"/>
          <w:lang w:val="en-US" w:eastAsia="zh-CN"/>
        </w:rPr>
        <w:t>18.7055</w:t>
      </w:r>
      <w:r>
        <w:rPr>
          <w:rFonts w:hint="eastAsia" w:ascii="Times New Roman" w:hAnsi="Times New Roman"/>
          <w:color w:val="000000"/>
          <w:sz w:val="24"/>
        </w:rPr>
        <w:t>t/a。对比《江门产业转移工业园台山园区环境影响报告书》预测的废气产生量SO</w:t>
      </w:r>
      <w:r>
        <w:rPr>
          <w:rFonts w:hint="eastAsia" w:ascii="Times New Roman" w:hAnsi="Times New Roman"/>
          <w:color w:val="000000"/>
          <w:sz w:val="24"/>
          <w:vertAlign w:val="subscript"/>
        </w:rPr>
        <w:t>2</w:t>
      </w:r>
      <w:r>
        <w:rPr>
          <w:rFonts w:hint="eastAsia" w:ascii="Times New Roman" w:hAnsi="Times New Roman"/>
          <w:color w:val="000000"/>
          <w:sz w:val="24"/>
        </w:rPr>
        <w:t>总排放量为26.45t/a，NO</w:t>
      </w:r>
      <w:r>
        <w:rPr>
          <w:rFonts w:hint="eastAsia" w:ascii="Times New Roman" w:hAnsi="Times New Roman"/>
          <w:color w:val="000000"/>
          <w:sz w:val="24"/>
          <w:vertAlign w:val="subscript"/>
        </w:rPr>
        <w:t>X</w:t>
      </w:r>
      <w:r>
        <w:rPr>
          <w:rFonts w:hint="eastAsia" w:ascii="Times New Roman" w:hAnsi="Times New Roman"/>
          <w:color w:val="000000"/>
          <w:sz w:val="24"/>
        </w:rPr>
        <w:t>总排放量为10.60t/a，颗粒物总排放量为26.72t/a，VOCs总排放量为9.05t/a，NO</w:t>
      </w:r>
      <w:r>
        <w:rPr>
          <w:rFonts w:hint="eastAsia" w:ascii="Times New Roman" w:hAnsi="Times New Roman"/>
          <w:color w:val="000000"/>
          <w:sz w:val="24"/>
          <w:vertAlign w:val="subscript"/>
        </w:rPr>
        <w:t>X</w:t>
      </w:r>
      <w:r>
        <w:rPr>
          <w:rFonts w:hint="eastAsia" w:ascii="Times New Roman" w:hAnsi="Times New Roman"/>
          <w:color w:val="000000"/>
          <w:sz w:val="24"/>
          <w:lang w:val="en-US" w:eastAsia="zh-CN"/>
        </w:rPr>
        <w:t>、</w:t>
      </w:r>
      <w:r>
        <w:rPr>
          <w:rFonts w:hint="eastAsia" w:ascii="Times New Roman" w:hAnsi="Times New Roman"/>
          <w:color w:val="000000"/>
          <w:sz w:val="24"/>
        </w:rPr>
        <w:t>颗粒物和VOCs超过规划环评的预测值。</w:t>
      </w:r>
      <w:r>
        <w:rPr>
          <w:rFonts w:hint="eastAsia"/>
        </w:rPr>
        <w:t xml:space="preserve"> </w:t>
      </w:r>
    </w:p>
    <w:p>
      <w:pPr>
        <w:pStyle w:val="15"/>
      </w:pPr>
      <w:bookmarkStart w:id="33" w:name="_Toc97912855"/>
      <w:r>
        <w:rPr>
          <w:rFonts w:hint="eastAsia"/>
        </w:rPr>
        <w:t>3</w:t>
      </w:r>
      <w:r>
        <w:t>.5.3固体废物产生情况</w:t>
      </w:r>
      <w:bookmarkEnd w:id="33"/>
    </w:p>
    <w:p>
      <w:pPr>
        <w:spacing w:line="360" w:lineRule="auto"/>
        <w:ind w:firstLine="480" w:firstLineChars="200"/>
        <w:rPr>
          <w:rFonts w:ascii="Times New Roman" w:hAnsi="Times New Roman"/>
          <w:sz w:val="24"/>
        </w:rPr>
        <w:sectPr>
          <w:pgSz w:w="11906" w:h="16838"/>
          <w:pgMar w:top="1440" w:right="1800" w:bottom="1440" w:left="1800" w:header="851" w:footer="992" w:gutter="0"/>
          <w:cols w:space="720" w:num="1"/>
          <w:docGrid w:type="lines" w:linePitch="312" w:charSpace="0"/>
        </w:sectPr>
      </w:pPr>
      <w:r>
        <w:rPr>
          <w:rFonts w:hint="eastAsia" w:ascii="Times New Roman" w:hAnsi="Times New Roman"/>
          <w:sz w:val="24"/>
        </w:rPr>
        <w:t>园区固体废物包括工业固废、危险废物和生活垃圾。经统计：一般工业固废</w:t>
      </w:r>
      <w:r>
        <w:rPr>
          <w:rFonts w:ascii="Times New Roman" w:hAnsi="Times New Roman"/>
          <w:sz w:val="24"/>
        </w:rPr>
        <w:t>35119.42</w:t>
      </w:r>
      <w:r>
        <w:rPr>
          <w:rFonts w:hint="eastAsia" w:ascii="Times New Roman" w:hAnsi="Times New Roman"/>
          <w:sz w:val="24"/>
        </w:rPr>
        <w:t>t/a，主要是废边角料、废包装材料等，一般外卖给废品回收公司综合利用；危险废物</w:t>
      </w:r>
      <w:r>
        <w:rPr>
          <w:rFonts w:ascii="Times New Roman" w:hAnsi="Times New Roman"/>
          <w:sz w:val="24"/>
        </w:rPr>
        <w:t>1586.67</w:t>
      </w:r>
      <w:r>
        <w:rPr>
          <w:rFonts w:hint="eastAsia" w:ascii="Times New Roman" w:hAnsi="Times New Roman"/>
          <w:sz w:val="24"/>
        </w:rPr>
        <w:t>t/a，主要是废物处理设备的废活性炭、设备维修产 生的废机油等，均交给有危险废物处理处置资质单位回收处置；生活垃圾</w:t>
      </w:r>
      <w:r>
        <w:rPr>
          <w:rFonts w:ascii="Times New Roman" w:hAnsi="Times New Roman"/>
          <w:sz w:val="24"/>
        </w:rPr>
        <w:t>1635.98</w:t>
      </w:r>
      <w:r>
        <w:rPr>
          <w:rFonts w:hint="eastAsia" w:ascii="Times New Roman" w:hAnsi="Times New Roman"/>
          <w:sz w:val="24"/>
        </w:rPr>
        <w:t>t/a，主要来源于园区的办公人员生活垃圾、主要为废纸屑、废塑料瓶、玻璃瓶、剩菜、剩饭等，均由环卫部门统一收集。</w:t>
      </w:r>
    </w:p>
    <w:p>
      <w:pPr>
        <w:pStyle w:val="13"/>
      </w:pPr>
      <w:bookmarkStart w:id="34" w:name="_Toc14189"/>
      <w:bookmarkStart w:id="35" w:name="_Toc97912856"/>
      <w:r>
        <w:t>四</w:t>
      </w:r>
      <w:r>
        <w:rPr>
          <w:rFonts w:hint="eastAsia"/>
          <w:lang w:eastAsia="zh-CN"/>
        </w:rPr>
        <w:t>、</w:t>
      </w:r>
      <w:r>
        <w:t>园区</w:t>
      </w:r>
      <w:r>
        <w:rPr>
          <w:rFonts w:hint="eastAsia"/>
          <w:lang w:val="en-US" w:eastAsia="zh-CN"/>
        </w:rPr>
        <w:t>2022年</w:t>
      </w:r>
      <w:r>
        <w:t>环境质量现状分析</w:t>
      </w:r>
      <w:bookmarkEnd w:id="34"/>
      <w:bookmarkEnd w:id="35"/>
    </w:p>
    <w:p>
      <w:pPr>
        <w:pStyle w:val="14"/>
      </w:pPr>
      <w:bookmarkStart w:id="36" w:name="_Toc97912857"/>
      <w:bookmarkStart w:id="37" w:name="_Toc17102"/>
      <w:r>
        <w:rPr>
          <w:rFonts w:hint="eastAsia"/>
        </w:rPr>
        <w:t>4</w:t>
      </w:r>
      <w:r>
        <w:t>.1大气环境质量现状</w:t>
      </w:r>
      <w:bookmarkEnd w:id="36"/>
      <w:bookmarkEnd w:id="37"/>
    </w:p>
    <w:p>
      <w:pPr>
        <w:pStyle w:val="15"/>
      </w:pPr>
      <w:bookmarkStart w:id="38" w:name="_Toc97912858"/>
      <w:r>
        <w:rPr>
          <w:rFonts w:hint="eastAsia"/>
        </w:rPr>
        <w:t>4</w:t>
      </w:r>
      <w:r>
        <w:t>.1.1现状监测结果</w:t>
      </w:r>
      <w:bookmarkEnd w:id="38"/>
    </w:p>
    <w:p>
      <w:pPr>
        <w:spacing w:line="360" w:lineRule="auto"/>
        <w:ind w:firstLine="480" w:firstLineChars="200"/>
        <w:rPr>
          <w:rFonts w:ascii="Times New Roman" w:hAnsi="Times New Roman"/>
          <w:color w:val="000000"/>
          <w:sz w:val="24"/>
        </w:rPr>
      </w:pPr>
      <w:r>
        <w:rPr>
          <w:rFonts w:ascii="Times New Roman" w:hAnsi="Times New Roman"/>
          <w:sz w:val="24"/>
        </w:rPr>
        <w:t>本次监测委托江门新财富环境管家技术有限公司开展，监测时间为 20</w:t>
      </w:r>
      <w:r>
        <w:rPr>
          <w:rFonts w:hint="eastAsia" w:ascii="Times New Roman" w:hAnsi="Times New Roman"/>
          <w:sz w:val="24"/>
          <w:lang w:val="en-US" w:eastAsia="zh-CN"/>
        </w:rPr>
        <w:t>22</w:t>
      </w:r>
      <w:r>
        <w:rPr>
          <w:rFonts w:ascii="Times New Roman" w:hAnsi="Times New Roman"/>
          <w:sz w:val="24"/>
        </w:rPr>
        <w:t>年</w:t>
      </w:r>
      <w:r>
        <w:rPr>
          <w:rFonts w:hint="eastAsia" w:ascii="Times New Roman" w:hAnsi="Times New Roman"/>
          <w:sz w:val="24"/>
          <w:lang w:val="en-US" w:eastAsia="zh-CN"/>
        </w:rPr>
        <w:t>04</w:t>
      </w:r>
      <w:r>
        <w:rPr>
          <w:rFonts w:ascii="Times New Roman" w:hAnsi="Times New Roman"/>
          <w:sz w:val="24"/>
        </w:rPr>
        <w:t>月</w:t>
      </w:r>
      <w:r>
        <w:rPr>
          <w:rFonts w:hint="eastAsia" w:ascii="Times New Roman" w:hAnsi="Times New Roman"/>
          <w:sz w:val="24"/>
          <w:lang w:val="en-US" w:eastAsia="zh-CN"/>
        </w:rPr>
        <w:t>20</w:t>
      </w:r>
      <w:r>
        <w:rPr>
          <w:rFonts w:ascii="Times New Roman" w:hAnsi="Times New Roman"/>
          <w:sz w:val="24"/>
        </w:rPr>
        <w:t>日</w:t>
      </w:r>
      <w:r>
        <w:rPr>
          <w:rFonts w:hint="eastAsia" w:ascii="Times New Roman" w:hAnsi="Times New Roman"/>
          <w:sz w:val="24"/>
          <w:lang w:val="en-US" w:eastAsia="zh-CN"/>
        </w:rPr>
        <w:t>和2022年11月20日</w:t>
      </w:r>
      <w:r>
        <w:rPr>
          <w:rFonts w:ascii="Times New Roman" w:hAnsi="Times New Roman"/>
          <w:sz w:val="24"/>
        </w:rPr>
        <w:t>。根据监测报告（报告编号：XCF202</w:t>
      </w:r>
      <w:r>
        <w:rPr>
          <w:rFonts w:hint="eastAsia" w:ascii="Times New Roman" w:hAnsi="Times New Roman"/>
          <w:sz w:val="24"/>
          <w:lang w:val="en-US" w:eastAsia="zh-CN"/>
        </w:rPr>
        <w:t>20512</w:t>
      </w:r>
      <w:r>
        <w:rPr>
          <w:rFonts w:ascii="Times New Roman" w:hAnsi="Times New Roman"/>
          <w:sz w:val="24"/>
        </w:rPr>
        <w:t>-0</w:t>
      </w:r>
      <w:r>
        <w:rPr>
          <w:rFonts w:hint="eastAsia" w:ascii="Times New Roman" w:hAnsi="Times New Roman"/>
          <w:sz w:val="24"/>
          <w:lang w:val="en-US" w:eastAsia="zh-CN"/>
        </w:rPr>
        <w:t>10和</w:t>
      </w:r>
      <w:r>
        <w:rPr>
          <w:rFonts w:ascii="Times New Roman" w:hAnsi="Times New Roman"/>
          <w:sz w:val="24"/>
        </w:rPr>
        <w:t>XCF202</w:t>
      </w:r>
      <w:r>
        <w:rPr>
          <w:rFonts w:hint="eastAsia" w:ascii="Times New Roman" w:hAnsi="Times New Roman"/>
          <w:sz w:val="24"/>
          <w:lang w:val="en-US" w:eastAsia="zh-CN"/>
        </w:rPr>
        <w:t>21130</w:t>
      </w:r>
      <w:r>
        <w:rPr>
          <w:rFonts w:ascii="Times New Roman" w:hAnsi="Times New Roman"/>
          <w:sz w:val="24"/>
        </w:rPr>
        <w:t>-0</w:t>
      </w:r>
      <w:r>
        <w:rPr>
          <w:rFonts w:hint="eastAsia" w:ascii="Times New Roman" w:hAnsi="Times New Roman"/>
          <w:sz w:val="24"/>
          <w:lang w:val="en-US" w:eastAsia="zh-CN"/>
        </w:rPr>
        <w:t>10</w:t>
      </w:r>
      <w:r>
        <w:rPr>
          <w:rFonts w:ascii="Times New Roman" w:hAnsi="Times New Roman"/>
          <w:sz w:val="24"/>
        </w:rPr>
        <w:t>）</w:t>
      </w:r>
      <w:r>
        <w:rPr>
          <w:rFonts w:hint="eastAsia" w:ascii="Times New Roman" w:hAnsi="Times New Roman"/>
          <w:sz w:val="24"/>
        </w:rPr>
        <w:t>的</w:t>
      </w:r>
      <w:r>
        <w:rPr>
          <w:rFonts w:ascii="Times New Roman" w:hAnsi="Times New Roman"/>
          <w:color w:val="000000"/>
          <w:sz w:val="24"/>
        </w:rPr>
        <w:t>监测结果可知，</w:t>
      </w:r>
      <w:r>
        <w:rPr>
          <w:rFonts w:hint="eastAsia" w:ascii="Times New Roman" w:hAnsi="Times New Roman"/>
          <w:color w:val="000000"/>
          <w:sz w:val="24"/>
        </w:rPr>
        <w:t>溢</w:t>
      </w:r>
      <w:r>
        <w:rPr>
          <w:rFonts w:ascii="Times New Roman" w:hAnsi="Times New Roman"/>
          <w:color w:val="000000"/>
          <w:sz w:val="24"/>
        </w:rPr>
        <w:t>塘村G1、</w:t>
      </w:r>
      <w:r>
        <w:rPr>
          <w:rFonts w:hint="eastAsia" w:ascii="Times New Roman" w:hAnsi="Times New Roman"/>
          <w:color w:val="000000"/>
          <w:sz w:val="24"/>
        </w:rPr>
        <w:t>下</w:t>
      </w:r>
      <w:r>
        <w:rPr>
          <w:rFonts w:ascii="Times New Roman" w:hAnsi="Times New Roman"/>
          <w:color w:val="000000"/>
          <w:sz w:val="24"/>
        </w:rPr>
        <w:t>横圳村G2、</w:t>
      </w:r>
      <w:r>
        <w:rPr>
          <w:rFonts w:hint="eastAsia" w:ascii="Times New Roman" w:hAnsi="Times New Roman"/>
          <w:color w:val="000000"/>
          <w:sz w:val="24"/>
        </w:rPr>
        <w:t>天</w:t>
      </w:r>
      <w:r>
        <w:rPr>
          <w:rFonts w:ascii="Times New Roman" w:hAnsi="Times New Roman"/>
          <w:color w:val="000000"/>
          <w:sz w:val="24"/>
        </w:rPr>
        <w:t>二村G3、</w:t>
      </w:r>
      <w:r>
        <w:rPr>
          <w:rFonts w:hint="eastAsia" w:ascii="Times New Roman" w:hAnsi="Times New Roman"/>
          <w:color w:val="000000"/>
          <w:sz w:val="24"/>
          <w:lang w:val="en-US" w:eastAsia="zh-CN"/>
        </w:rPr>
        <w:t>蟠龙</w:t>
      </w:r>
      <w:r>
        <w:rPr>
          <w:rFonts w:ascii="Times New Roman" w:hAnsi="Times New Roman"/>
          <w:color w:val="000000"/>
          <w:sz w:val="24"/>
        </w:rPr>
        <w:t>村G4和</w:t>
      </w:r>
      <w:r>
        <w:rPr>
          <w:rFonts w:hint="eastAsia" w:ascii="Times New Roman" w:hAnsi="Times New Roman"/>
          <w:color w:val="000000"/>
          <w:sz w:val="24"/>
        </w:rPr>
        <w:t>大龙</w:t>
      </w:r>
      <w:r>
        <w:rPr>
          <w:rFonts w:ascii="Times New Roman" w:hAnsi="Times New Roman"/>
          <w:color w:val="000000"/>
          <w:sz w:val="24"/>
        </w:rPr>
        <w:t>坊G5的SO</w:t>
      </w:r>
      <w:r>
        <w:rPr>
          <w:rFonts w:ascii="Times New Roman" w:hAnsi="Times New Roman"/>
          <w:color w:val="000000"/>
          <w:sz w:val="24"/>
          <w:vertAlign w:val="subscript"/>
        </w:rPr>
        <w:t>2</w:t>
      </w:r>
      <w:r>
        <w:rPr>
          <w:rFonts w:ascii="Times New Roman" w:hAnsi="Times New Roman"/>
          <w:color w:val="000000"/>
          <w:sz w:val="24"/>
        </w:rPr>
        <w:t>、NOx、PM</w:t>
      </w:r>
      <w:r>
        <w:rPr>
          <w:rFonts w:ascii="Times New Roman" w:hAnsi="Times New Roman"/>
          <w:color w:val="000000"/>
          <w:sz w:val="24"/>
          <w:vertAlign w:val="subscript"/>
        </w:rPr>
        <w:t>10</w:t>
      </w:r>
      <w:r>
        <w:rPr>
          <w:rFonts w:ascii="Times New Roman" w:hAnsi="Times New Roman"/>
          <w:color w:val="000000"/>
          <w:sz w:val="24"/>
        </w:rPr>
        <w:t>、PM</w:t>
      </w:r>
      <w:r>
        <w:rPr>
          <w:rFonts w:ascii="Times New Roman" w:hAnsi="Times New Roman"/>
          <w:color w:val="000000"/>
          <w:sz w:val="24"/>
          <w:vertAlign w:val="subscript"/>
        </w:rPr>
        <w:t>2.5</w:t>
      </w:r>
      <w:r>
        <w:rPr>
          <w:rFonts w:ascii="Times New Roman" w:hAnsi="Times New Roman"/>
          <w:color w:val="000000"/>
          <w:sz w:val="24"/>
        </w:rPr>
        <w:t>浓度值均达到《环境空气质量标准》（GB3095-2012）二级标准；</w:t>
      </w:r>
      <w:r>
        <w:rPr>
          <w:rFonts w:hint="eastAsia" w:ascii="Times New Roman" w:hAnsi="Times New Roman"/>
          <w:color w:val="000000"/>
          <w:sz w:val="24"/>
        </w:rPr>
        <w:t>T</w:t>
      </w:r>
      <w:r>
        <w:rPr>
          <w:rFonts w:ascii="Times New Roman" w:hAnsi="Times New Roman"/>
          <w:color w:val="000000"/>
          <w:sz w:val="24"/>
        </w:rPr>
        <w:t>VOC的</w:t>
      </w:r>
      <w:r>
        <w:rPr>
          <w:rFonts w:hint="eastAsia" w:ascii="Times New Roman" w:hAnsi="Times New Roman"/>
          <w:color w:val="000000"/>
          <w:sz w:val="24"/>
        </w:rPr>
        <w:t>8</w:t>
      </w:r>
      <w:r>
        <w:rPr>
          <w:rFonts w:ascii="Times New Roman" w:hAnsi="Times New Roman"/>
          <w:color w:val="000000"/>
          <w:sz w:val="24"/>
        </w:rPr>
        <w:t>小时平均浓度达到《环境影响评价技术导则 大气环境》（HJ2.2-2018）附录D的标准限值要求；</w:t>
      </w:r>
      <w:r>
        <w:rPr>
          <w:rFonts w:hint="eastAsia" w:ascii="Times New Roman" w:hAnsi="Times New Roman"/>
          <w:color w:val="000000"/>
          <w:sz w:val="24"/>
        </w:rPr>
        <w:t>大气</w:t>
      </w:r>
      <w:r>
        <w:rPr>
          <w:rFonts w:ascii="Times New Roman" w:hAnsi="Times New Roman"/>
          <w:color w:val="000000"/>
          <w:sz w:val="24"/>
        </w:rPr>
        <w:t>环境空气监测点的监测结果表明，本区域环境空气质量良好。</w:t>
      </w:r>
    </w:p>
    <w:p>
      <w:pPr>
        <w:pStyle w:val="14"/>
      </w:pPr>
      <w:bookmarkStart w:id="39" w:name="_Toc97912859"/>
      <w:bookmarkStart w:id="40" w:name="_Toc28091"/>
      <w:r>
        <w:rPr>
          <w:rFonts w:hint="eastAsia"/>
        </w:rPr>
        <w:t>4</w:t>
      </w:r>
      <w:r>
        <w:t>.2</w:t>
      </w:r>
      <w:r>
        <w:rPr>
          <w:rFonts w:hint="eastAsia"/>
        </w:rPr>
        <w:t>地表水</w:t>
      </w:r>
      <w:r>
        <w:t>环境质量现状</w:t>
      </w:r>
      <w:bookmarkEnd w:id="39"/>
      <w:bookmarkEnd w:id="40"/>
    </w:p>
    <w:p>
      <w:pPr>
        <w:pStyle w:val="15"/>
      </w:pPr>
      <w:bookmarkStart w:id="41" w:name="_Toc97912860"/>
      <w:r>
        <w:rPr>
          <w:rFonts w:hint="eastAsia"/>
        </w:rPr>
        <w:t>4</w:t>
      </w:r>
      <w:r>
        <w:t>.2.1现状监测结果</w:t>
      </w:r>
      <w:bookmarkEnd w:id="41"/>
    </w:p>
    <w:p>
      <w:pPr>
        <w:spacing w:line="360" w:lineRule="auto"/>
        <w:ind w:firstLine="480" w:firstLineChars="200"/>
      </w:pPr>
      <w:r>
        <w:rPr>
          <w:rFonts w:hint="eastAsia" w:ascii="Times New Roman" w:hAnsi="Times New Roman"/>
          <w:sz w:val="24"/>
        </w:rPr>
        <w:t>园区产生的废水目前排入水步污水处理厂处理，水步污水处理厂的纳污水体均为公益水。公益水属于潭江流域，为了解纳污水体的水环境质量状况，委托江门新财富环境管家技术有限公司针对公益水及水步河的7个监测断面（滘口（坤辉桥）、水步污水处理厂排放口上下游、新联桥、草坪里、水步桥、六福小区）进行监测。监测时间为2</w:t>
      </w:r>
      <w:r>
        <w:rPr>
          <w:rFonts w:ascii="Times New Roman" w:hAnsi="Times New Roman"/>
          <w:sz w:val="24"/>
        </w:rPr>
        <w:t>0</w:t>
      </w:r>
      <w:r>
        <w:rPr>
          <w:rFonts w:hint="eastAsia" w:ascii="Times New Roman" w:hAnsi="Times New Roman"/>
          <w:sz w:val="24"/>
          <w:lang w:val="en-US" w:eastAsia="zh-CN"/>
        </w:rPr>
        <w:t>22</w:t>
      </w:r>
      <w:r>
        <w:rPr>
          <w:rFonts w:ascii="Times New Roman" w:hAnsi="Times New Roman"/>
          <w:sz w:val="24"/>
        </w:rPr>
        <w:t>年</w:t>
      </w:r>
      <w:r>
        <w:rPr>
          <w:rFonts w:hint="eastAsia" w:ascii="Times New Roman" w:hAnsi="Times New Roman"/>
          <w:sz w:val="24"/>
          <w:lang w:val="en-US" w:eastAsia="zh-CN"/>
        </w:rPr>
        <w:t>04</w:t>
      </w:r>
      <w:r>
        <w:rPr>
          <w:rFonts w:ascii="Times New Roman" w:hAnsi="Times New Roman"/>
          <w:sz w:val="24"/>
        </w:rPr>
        <w:t>月</w:t>
      </w:r>
      <w:r>
        <w:rPr>
          <w:rFonts w:hint="eastAsia" w:ascii="Times New Roman" w:hAnsi="Times New Roman"/>
          <w:sz w:val="24"/>
          <w:lang w:val="en-US" w:eastAsia="zh-CN"/>
        </w:rPr>
        <w:t>19</w:t>
      </w:r>
      <w:r>
        <w:rPr>
          <w:rFonts w:hint="eastAsia" w:ascii="Times New Roman" w:hAnsi="Times New Roman"/>
          <w:sz w:val="24"/>
        </w:rPr>
        <w:t>日，根据</w:t>
      </w:r>
      <w:r>
        <w:rPr>
          <w:rFonts w:ascii="Times New Roman" w:hAnsi="Times New Roman"/>
          <w:sz w:val="24"/>
        </w:rPr>
        <w:t>监测报告（报告编号：XCF202</w:t>
      </w:r>
      <w:r>
        <w:rPr>
          <w:rFonts w:hint="eastAsia" w:ascii="Times New Roman" w:hAnsi="Times New Roman"/>
          <w:sz w:val="24"/>
          <w:lang w:val="en-US" w:eastAsia="zh-CN"/>
        </w:rPr>
        <w:t>20512-011</w:t>
      </w:r>
      <w:r>
        <w:rPr>
          <w:rFonts w:ascii="Times New Roman" w:hAnsi="Times New Roman"/>
          <w:sz w:val="24"/>
        </w:rPr>
        <w:t>）</w:t>
      </w:r>
      <w:r>
        <w:rPr>
          <w:rFonts w:hint="eastAsia" w:ascii="Times New Roman" w:hAnsi="Times New Roman"/>
          <w:sz w:val="24"/>
        </w:rPr>
        <w:t>的</w:t>
      </w:r>
      <w:r>
        <w:rPr>
          <w:rFonts w:ascii="Times New Roman" w:hAnsi="Times New Roman"/>
          <w:sz w:val="24"/>
        </w:rPr>
        <w:t>监测结果可知</w:t>
      </w:r>
      <w:r>
        <w:rPr>
          <w:rFonts w:hint="eastAsia" w:ascii="Times New Roman" w:hAnsi="Times New Roman"/>
          <w:sz w:val="24"/>
        </w:rPr>
        <w:t>，</w:t>
      </w:r>
      <w:r>
        <w:rPr>
          <w:rFonts w:hint="eastAsia" w:ascii="Times New Roman" w:hAnsi="Times New Roman"/>
          <w:sz w:val="24"/>
          <w:lang w:val="en-US" w:eastAsia="zh-CN"/>
        </w:rPr>
        <w:t>断面</w:t>
      </w:r>
      <w:r>
        <w:rPr>
          <w:rFonts w:ascii="Times New Roman" w:hAnsi="Times New Roman"/>
          <w:sz w:val="24"/>
        </w:rPr>
        <w:t>W1</w:t>
      </w:r>
      <w:r>
        <w:rPr>
          <w:rFonts w:hint="eastAsia" w:ascii="Times New Roman" w:hAnsi="Times New Roman"/>
          <w:sz w:val="24"/>
        </w:rPr>
        <w:t>、</w:t>
      </w:r>
      <w:r>
        <w:rPr>
          <w:rFonts w:ascii="Times New Roman" w:hAnsi="Times New Roman"/>
          <w:sz w:val="24"/>
        </w:rPr>
        <w:t>W2</w:t>
      </w:r>
      <w:r>
        <w:rPr>
          <w:rFonts w:hint="eastAsia" w:ascii="Times New Roman" w:hAnsi="Times New Roman"/>
          <w:sz w:val="24"/>
        </w:rPr>
        <w:t>、</w:t>
      </w:r>
      <w:r>
        <w:rPr>
          <w:rFonts w:ascii="Times New Roman" w:hAnsi="Times New Roman"/>
          <w:sz w:val="24"/>
        </w:rPr>
        <w:t>W4的污染因子溶解氧</w:t>
      </w:r>
      <w:r>
        <w:rPr>
          <w:rFonts w:hint="eastAsia" w:ascii="Times New Roman" w:hAnsi="Times New Roman"/>
          <w:sz w:val="24"/>
        </w:rPr>
        <w:t>未能满足《地表水环境质量标准》（GB 3838-2002） III 类标准要求；断面</w:t>
      </w:r>
      <w:r>
        <w:rPr>
          <w:rFonts w:ascii="Times New Roman" w:hAnsi="Times New Roman"/>
          <w:sz w:val="24"/>
        </w:rPr>
        <w:t>W</w:t>
      </w:r>
      <w:r>
        <w:rPr>
          <w:rFonts w:hint="eastAsia" w:ascii="Times New Roman" w:hAnsi="Times New Roman"/>
          <w:sz w:val="24"/>
          <w:lang w:val="en-US" w:eastAsia="zh-CN"/>
        </w:rPr>
        <w:t>3</w:t>
      </w:r>
      <w:r>
        <w:rPr>
          <w:rFonts w:hint="eastAsia" w:ascii="Times New Roman" w:hAnsi="Times New Roman"/>
          <w:sz w:val="24"/>
        </w:rPr>
        <w:t>、</w:t>
      </w:r>
      <w:r>
        <w:rPr>
          <w:rFonts w:ascii="Times New Roman" w:hAnsi="Times New Roman"/>
          <w:sz w:val="24"/>
        </w:rPr>
        <w:t>W7的污染因子溶解氧</w:t>
      </w:r>
      <w:r>
        <w:rPr>
          <w:rFonts w:hint="eastAsia" w:ascii="Times New Roman" w:hAnsi="Times New Roman"/>
          <w:sz w:val="24"/>
        </w:rPr>
        <w:t>未能满足《地表水环境质量标准》（GB 3838-2002）IV类标准要求。</w:t>
      </w:r>
      <w:r>
        <w:rPr>
          <w:rFonts w:hint="eastAsia" w:ascii="Times New Roman" w:hAnsi="Times New Roman"/>
          <w:sz w:val="24"/>
          <w:lang w:val="en-US" w:eastAsia="zh-CN"/>
        </w:rPr>
        <w:t>断面</w:t>
      </w:r>
      <w:r>
        <w:rPr>
          <w:rFonts w:ascii="Times New Roman" w:hAnsi="Times New Roman"/>
          <w:sz w:val="24"/>
        </w:rPr>
        <w:t>W</w:t>
      </w:r>
      <w:r>
        <w:rPr>
          <w:rFonts w:hint="eastAsia" w:ascii="Times New Roman" w:hAnsi="Times New Roman"/>
          <w:sz w:val="24"/>
          <w:lang w:val="en-US" w:eastAsia="zh-CN"/>
        </w:rPr>
        <w:t>3、W5、W6、W7</w:t>
      </w:r>
      <w:r>
        <w:rPr>
          <w:rFonts w:ascii="Times New Roman" w:hAnsi="Times New Roman"/>
          <w:sz w:val="24"/>
        </w:rPr>
        <w:t>的污染因子</w:t>
      </w:r>
      <w:r>
        <w:rPr>
          <w:rFonts w:hint="eastAsia" w:ascii="Times New Roman" w:hAnsi="Times New Roman"/>
          <w:sz w:val="24"/>
          <w:lang w:val="en-US" w:eastAsia="zh-CN"/>
        </w:rPr>
        <w:t>五日生化需氧量未能满足</w:t>
      </w:r>
      <w:r>
        <w:rPr>
          <w:rFonts w:hint="eastAsia" w:ascii="Times New Roman" w:hAnsi="Times New Roman"/>
          <w:sz w:val="24"/>
        </w:rPr>
        <w:t>《地表水环境质量标准》（GB 3838-2002）IV类标准要求</w:t>
      </w:r>
      <w:r>
        <w:rPr>
          <w:rFonts w:hint="eastAsia" w:ascii="Times New Roman" w:hAnsi="Times New Roman"/>
          <w:sz w:val="24"/>
          <w:lang w:eastAsia="zh-CN"/>
        </w:rPr>
        <w:t>；</w:t>
      </w:r>
      <w:r>
        <w:rPr>
          <w:rFonts w:hint="eastAsia" w:ascii="Times New Roman" w:hAnsi="Times New Roman"/>
          <w:sz w:val="24"/>
          <w:lang w:val="en-US" w:eastAsia="zh-CN"/>
        </w:rPr>
        <w:t>断面</w:t>
      </w:r>
      <w:r>
        <w:rPr>
          <w:rFonts w:ascii="Times New Roman" w:hAnsi="Times New Roman"/>
          <w:sz w:val="24"/>
        </w:rPr>
        <w:t>W</w:t>
      </w:r>
      <w:r>
        <w:rPr>
          <w:rFonts w:hint="eastAsia" w:ascii="Times New Roman" w:hAnsi="Times New Roman"/>
          <w:sz w:val="24"/>
          <w:lang w:val="en-US" w:eastAsia="zh-CN"/>
        </w:rPr>
        <w:t>1、W2、W4</w:t>
      </w:r>
      <w:r>
        <w:rPr>
          <w:rFonts w:ascii="Times New Roman" w:hAnsi="Times New Roman"/>
          <w:sz w:val="24"/>
        </w:rPr>
        <w:t>的污染因子</w:t>
      </w:r>
      <w:r>
        <w:rPr>
          <w:rFonts w:hint="eastAsia" w:ascii="Times New Roman" w:hAnsi="Times New Roman"/>
          <w:sz w:val="24"/>
          <w:lang w:val="en-US" w:eastAsia="zh-CN"/>
        </w:rPr>
        <w:t>五日生化需氧量未能满足</w:t>
      </w:r>
      <w:r>
        <w:rPr>
          <w:rFonts w:hint="eastAsia" w:ascii="Times New Roman" w:hAnsi="Times New Roman"/>
          <w:sz w:val="24"/>
        </w:rPr>
        <w:t>《地表水环境质量标准》（GB 3838-2002） III 类标准要求</w:t>
      </w:r>
      <w:r>
        <w:rPr>
          <w:rFonts w:hint="eastAsia" w:ascii="Times New Roman" w:hAnsi="Times New Roman"/>
          <w:sz w:val="24"/>
          <w:lang w:val="en-US" w:eastAsia="zh-CN"/>
        </w:rPr>
        <w:t>。</w:t>
      </w:r>
      <w:r>
        <w:rPr>
          <w:rFonts w:hint="eastAsia" w:ascii="Times New Roman" w:hAnsi="Times New Roman"/>
          <w:sz w:val="24"/>
        </w:rPr>
        <w:t>断面</w:t>
      </w:r>
      <w:r>
        <w:rPr>
          <w:rFonts w:ascii="Times New Roman" w:hAnsi="Times New Roman"/>
          <w:sz w:val="24"/>
        </w:rPr>
        <w:t>W1</w:t>
      </w:r>
      <w:r>
        <w:rPr>
          <w:rFonts w:hint="eastAsia" w:ascii="Times New Roman" w:hAnsi="Times New Roman"/>
          <w:sz w:val="24"/>
        </w:rPr>
        <w:t>、</w:t>
      </w:r>
      <w:r>
        <w:rPr>
          <w:rFonts w:ascii="Times New Roman" w:hAnsi="Times New Roman"/>
          <w:sz w:val="24"/>
        </w:rPr>
        <w:t>W2</w:t>
      </w:r>
      <w:r>
        <w:rPr>
          <w:rFonts w:hint="eastAsia" w:ascii="Times New Roman" w:hAnsi="Times New Roman"/>
          <w:sz w:val="24"/>
        </w:rPr>
        <w:t>、</w:t>
      </w:r>
      <w:r>
        <w:rPr>
          <w:rFonts w:ascii="Times New Roman" w:hAnsi="Times New Roman"/>
          <w:sz w:val="24"/>
        </w:rPr>
        <w:t>W4</w:t>
      </w:r>
      <w:r>
        <w:rPr>
          <w:rFonts w:hint="eastAsia" w:ascii="Times New Roman" w:hAnsi="Times New Roman"/>
          <w:sz w:val="24"/>
        </w:rPr>
        <w:t>其余污染因子均能满足《地表水环境质量标准》（GB 3838-2002） III 类标准要求；断面</w:t>
      </w:r>
      <w:r>
        <w:rPr>
          <w:rFonts w:ascii="Times New Roman" w:hAnsi="Times New Roman"/>
          <w:sz w:val="24"/>
        </w:rPr>
        <w:t>W</w:t>
      </w:r>
      <w:r>
        <w:rPr>
          <w:rFonts w:hint="eastAsia" w:ascii="Times New Roman" w:hAnsi="Times New Roman"/>
          <w:sz w:val="24"/>
          <w:lang w:val="en-US" w:eastAsia="zh-CN"/>
        </w:rPr>
        <w:t>3、W5、</w:t>
      </w:r>
      <w:r>
        <w:rPr>
          <w:rFonts w:ascii="Times New Roman" w:hAnsi="Times New Roman"/>
          <w:sz w:val="24"/>
        </w:rPr>
        <w:t>W6</w:t>
      </w:r>
      <w:r>
        <w:rPr>
          <w:rFonts w:hint="eastAsia" w:ascii="Times New Roman" w:hAnsi="Times New Roman"/>
          <w:sz w:val="24"/>
        </w:rPr>
        <w:t>、</w:t>
      </w:r>
      <w:r>
        <w:rPr>
          <w:rFonts w:ascii="Times New Roman" w:hAnsi="Times New Roman"/>
          <w:sz w:val="24"/>
        </w:rPr>
        <w:t>W7</w:t>
      </w:r>
      <w:r>
        <w:rPr>
          <w:rFonts w:hint="eastAsia" w:ascii="Times New Roman" w:hAnsi="Times New Roman"/>
          <w:sz w:val="24"/>
        </w:rPr>
        <w:t>其余污染因子均能满足《地表水环境质量标准》（GB 3838-2002）IV类标准要求。</w:t>
      </w:r>
    </w:p>
    <w:p>
      <w:pPr>
        <w:spacing w:line="360" w:lineRule="auto"/>
        <w:ind w:firstLine="480" w:firstLineChars="200"/>
        <w:rPr>
          <w:rFonts w:ascii="Times New Roman" w:hAnsi="Times New Roman"/>
          <w:sz w:val="24"/>
        </w:rPr>
      </w:pPr>
      <w:r>
        <w:rPr>
          <w:rFonts w:hint="eastAsia" w:ascii="Times New Roman" w:hAnsi="Times New Roman"/>
          <w:sz w:val="24"/>
        </w:rPr>
        <w:t>根据超标因子分析，可判断纳污水体主要受到生活污水的影响，随着区域污水管网的建设，公益水及水步河的水质将会逐步改善。</w:t>
      </w:r>
    </w:p>
    <w:p>
      <w:pPr>
        <w:pStyle w:val="14"/>
      </w:pPr>
      <w:bookmarkStart w:id="42" w:name="_Toc97912861"/>
      <w:bookmarkStart w:id="43" w:name="_Toc9844"/>
      <w:r>
        <w:rPr>
          <w:rFonts w:hint="eastAsia"/>
        </w:rPr>
        <w:t>4</w:t>
      </w:r>
      <w:r>
        <w:t>.3地下水环境质量现状</w:t>
      </w:r>
      <w:bookmarkEnd w:id="42"/>
      <w:bookmarkEnd w:id="43"/>
    </w:p>
    <w:p>
      <w:pPr>
        <w:pStyle w:val="15"/>
      </w:pPr>
      <w:bookmarkStart w:id="44" w:name="_Toc97912862"/>
      <w:r>
        <w:rPr>
          <w:rFonts w:hint="eastAsia"/>
        </w:rPr>
        <w:t>4</w:t>
      </w:r>
      <w:r>
        <w:t>.3.1</w:t>
      </w:r>
      <w:r>
        <w:rPr>
          <w:rFonts w:hint="eastAsia"/>
        </w:rPr>
        <w:t>现状监测结果</w:t>
      </w:r>
      <w:bookmarkEnd w:id="44"/>
    </w:p>
    <w:p>
      <w:pPr>
        <w:pStyle w:val="70"/>
        <w:ind w:firstLine="480"/>
        <w:jc w:val="left"/>
        <w:rPr>
          <w:rFonts w:eastAsia="宋体"/>
        </w:rPr>
      </w:pPr>
      <w:r>
        <w:rPr>
          <w:rFonts w:hint="eastAsia" w:eastAsia="宋体"/>
        </w:rPr>
        <w:t>为了解园区及周边地下水环境质量状况，于吉水村、高华村、福塘村、永安村、松岗村及沃朗村设置了6个地下水监测点位，监测时间为202</w:t>
      </w:r>
      <w:r>
        <w:rPr>
          <w:rFonts w:hint="eastAsia" w:eastAsia="宋体"/>
          <w:lang w:val="en-US" w:eastAsia="zh-CN"/>
        </w:rPr>
        <w:t>2</w:t>
      </w:r>
      <w:r>
        <w:rPr>
          <w:rFonts w:hint="eastAsia" w:eastAsia="宋体"/>
        </w:rPr>
        <w:t>年</w:t>
      </w:r>
      <w:r>
        <w:rPr>
          <w:rFonts w:hint="eastAsia" w:eastAsia="宋体"/>
          <w:lang w:val="en-US" w:eastAsia="zh-CN"/>
        </w:rPr>
        <w:t>04</w:t>
      </w:r>
      <w:r>
        <w:rPr>
          <w:rFonts w:hint="eastAsia" w:eastAsia="宋体"/>
        </w:rPr>
        <w:t>月</w:t>
      </w:r>
      <w:r>
        <w:rPr>
          <w:rFonts w:hint="eastAsia" w:eastAsia="宋体"/>
          <w:lang w:val="en-US" w:eastAsia="zh-CN"/>
        </w:rPr>
        <w:t>19</w:t>
      </w:r>
      <w:r>
        <w:rPr>
          <w:rFonts w:hint="eastAsia" w:eastAsia="宋体"/>
        </w:rPr>
        <w:t>日，根据监测报告（报告编号：XCF202</w:t>
      </w:r>
      <w:r>
        <w:rPr>
          <w:rFonts w:hint="eastAsia" w:eastAsia="宋体"/>
          <w:lang w:val="en-US" w:eastAsia="zh-CN"/>
        </w:rPr>
        <w:t>20512-011</w:t>
      </w:r>
      <w:r>
        <w:rPr>
          <w:rFonts w:hint="eastAsia" w:eastAsia="宋体"/>
        </w:rPr>
        <w:t>）的监测结果可知，高华村和福塘村的地下水的pH</w:t>
      </w:r>
      <w:r>
        <w:rPr>
          <w:rFonts w:eastAsia="宋体"/>
        </w:rPr>
        <w:t>值</w:t>
      </w:r>
      <w:r>
        <w:rPr>
          <w:rFonts w:hint="eastAsia" w:eastAsia="宋体"/>
        </w:rPr>
        <w:t>未能满足《地下水质量标准》（GB/T14848-2017）中的</w:t>
      </w:r>
      <w:r>
        <w:rPr>
          <w:rFonts w:eastAsia="宋体"/>
        </w:rPr>
        <w:t>Ⅲ</w:t>
      </w:r>
      <w:r>
        <w:rPr>
          <w:rFonts w:hint="eastAsia" w:eastAsia="宋体"/>
        </w:rPr>
        <w:t>类标准的要求；其他监测点各监测因子均满足《地下水质量标准》（GB/T14848-2017）中的</w:t>
      </w:r>
      <w:r>
        <w:rPr>
          <w:rFonts w:eastAsia="宋体"/>
        </w:rPr>
        <w:t>Ⅲ</w:t>
      </w:r>
      <w:r>
        <w:rPr>
          <w:rFonts w:hint="eastAsia" w:eastAsia="宋体"/>
        </w:rPr>
        <w:t>类标准的要求。</w:t>
      </w:r>
    </w:p>
    <w:p>
      <w:pPr>
        <w:pStyle w:val="70"/>
        <w:ind w:firstLine="480"/>
        <w:jc w:val="left"/>
        <w:rPr>
          <w:rFonts w:eastAsia="宋体"/>
        </w:rPr>
      </w:pPr>
      <w:r>
        <w:rPr>
          <w:rFonts w:hint="eastAsia" w:eastAsia="宋体"/>
        </w:rPr>
        <w:t>根据超标因子分析，可判断园区地下水环境质量现状一般，局部区域地下水出现水质偏酸性的情况。</w:t>
      </w:r>
    </w:p>
    <w:p>
      <w:pPr>
        <w:pStyle w:val="70"/>
        <w:ind w:firstLine="0" w:firstLineChars="0"/>
        <w:jc w:val="left"/>
        <w:rPr>
          <w:rFonts w:eastAsia="宋体"/>
        </w:rPr>
      </w:pPr>
    </w:p>
    <w:p>
      <w:pPr>
        <w:pStyle w:val="70"/>
        <w:ind w:firstLine="0" w:firstLineChars="0"/>
        <w:jc w:val="left"/>
        <w:rPr>
          <w:rFonts w:eastAsia="宋体"/>
        </w:rPr>
        <w:sectPr>
          <w:pgSz w:w="11906" w:h="16838"/>
          <w:pgMar w:top="1440" w:right="1800" w:bottom="1440" w:left="1800" w:header="851" w:footer="992" w:gutter="0"/>
          <w:cols w:space="720" w:num="1"/>
          <w:docGrid w:type="lines" w:linePitch="312" w:charSpace="0"/>
        </w:sectPr>
      </w:pPr>
    </w:p>
    <w:p>
      <w:pPr>
        <w:pStyle w:val="13"/>
      </w:pPr>
      <w:bookmarkStart w:id="45" w:name="_Toc97912863"/>
      <w:bookmarkStart w:id="46" w:name="_Toc11708"/>
      <w:r>
        <w:rPr>
          <w:rFonts w:hint="eastAsia"/>
        </w:rPr>
        <w:t>五</w:t>
      </w:r>
      <w:r>
        <w:rPr>
          <w:rFonts w:hint="eastAsia"/>
          <w:lang w:eastAsia="zh-CN"/>
        </w:rPr>
        <w:t>、</w:t>
      </w:r>
      <w:r>
        <w:rPr>
          <w:rFonts w:hint="eastAsia"/>
        </w:rPr>
        <w:t>园区</w:t>
      </w:r>
      <w:r>
        <w:rPr>
          <w:rFonts w:hint="eastAsia"/>
          <w:lang w:val="en-US" w:eastAsia="zh-CN"/>
        </w:rPr>
        <w:t>2022年</w:t>
      </w:r>
      <w:r>
        <w:rPr>
          <w:rFonts w:hint="eastAsia"/>
        </w:rPr>
        <w:t>环境保护现状管理情况</w:t>
      </w:r>
      <w:bookmarkEnd w:id="45"/>
      <w:bookmarkEnd w:id="46"/>
    </w:p>
    <w:p>
      <w:pPr>
        <w:pStyle w:val="14"/>
      </w:pPr>
      <w:bookmarkStart w:id="47" w:name="_Toc97912864"/>
      <w:bookmarkStart w:id="48" w:name="_Toc10681"/>
      <w:r>
        <w:rPr>
          <w:rFonts w:hint="eastAsia"/>
        </w:rPr>
        <w:t>5</w:t>
      </w:r>
      <w:r>
        <w:t>.1规划环评情况</w:t>
      </w:r>
      <w:bookmarkEnd w:id="47"/>
      <w:bookmarkEnd w:id="48"/>
    </w:p>
    <w:p>
      <w:pPr>
        <w:pStyle w:val="15"/>
      </w:pPr>
      <w:bookmarkStart w:id="49" w:name="_Toc97912865"/>
      <w:r>
        <w:rPr>
          <w:rFonts w:hint="eastAsia"/>
        </w:rPr>
        <w:t>5</w:t>
      </w:r>
      <w:r>
        <w:t>.1.1规划环评开展情况</w:t>
      </w:r>
      <w:bookmarkEnd w:id="49"/>
    </w:p>
    <w:p>
      <w:pPr>
        <w:pStyle w:val="70"/>
        <w:ind w:firstLine="480"/>
        <w:jc w:val="left"/>
        <w:rPr>
          <w:rFonts w:eastAsia="宋体"/>
        </w:rPr>
      </w:pPr>
      <w:r>
        <w:rPr>
          <w:rFonts w:hint="eastAsia" w:eastAsia="宋体"/>
        </w:rPr>
        <w:t xml:space="preserve">江门产业转移工业园的规划编制工作于2009年4月完成并通过广东省相关部门审批。2009年审批的范围主要包括开平园区、恩平园区两个园区，开平园区和恩平园区两个园区的环评报告于2009 年取得广东省环保厅的批复。 </w:t>
      </w:r>
    </w:p>
    <w:p>
      <w:pPr>
        <w:pStyle w:val="70"/>
        <w:ind w:firstLine="480"/>
        <w:jc w:val="left"/>
        <w:rPr>
          <w:rFonts w:eastAsia="宋体"/>
        </w:rPr>
      </w:pPr>
      <w:r>
        <w:rPr>
          <w:rFonts w:hint="eastAsia" w:eastAsia="宋体"/>
        </w:rPr>
        <w:t xml:space="preserve">2010年11月，根据江门市的实际发展情况，江门市产业转移工业园在原有恩平、 开平两个园区的基础上新增台山园区，并对原规划进行修编。2010年9 月广东省相关部门同意在江门产业转移园一园两区（开平、恩平）基础上，增加台山园区，形成一园三区的模式，设恩平园区、开平园区和台山园区。 </w:t>
      </w:r>
    </w:p>
    <w:p>
      <w:pPr>
        <w:pStyle w:val="70"/>
        <w:ind w:firstLine="480"/>
        <w:jc w:val="left"/>
        <w:rPr>
          <w:rFonts w:eastAsia="宋体"/>
        </w:rPr>
      </w:pPr>
      <w:r>
        <w:rPr>
          <w:rFonts w:hint="eastAsia" w:eastAsia="宋体"/>
        </w:rPr>
        <w:t>2011年环境保护部华南环境科学研究所编制了《江门产业转移工业园台山园区环境影响报告书》，同年广东省环境保护厅以《关于江门产业转移工业园台山园区环境影响报告书审查意见的函》（粤环审[2011]216号）对江门产业转移工业园台山园区进行了环保审查。</w:t>
      </w:r>
    </w:p>
    <w:p>
      <w:pPr>
        <w:pStyle w:val="70"/>
        <w:ind w:firstLine="480"/>
        <w:jc w:val="left"/>
        <w:rPr>
          <w:rFonts w:eastAsia="宋体"/>
        </w:rPr>
      </w:pPr>
      <w:r>
        <w:rPr>
          <w:rFonts w:hint="eastAsia" w:eastAsia="宋体"/>
        </w:rPr>
        <w:t>江门产业转移工业园台山园区规划总面积为616.13公顷，分为南组团、北组团、东组团三片，其中南组团面积273.96公顷；北组团面积187.96公顷；东组团面积154.21公顷。</w:t>
      </w:r>
    </w:p>
    <w:p>
      <w:pPr>
        <w:pStyle w:val="70"/>
        <w:ind w:firstLine="480"/>
        <w:jc w:val="left"/>
        <w:rPr>
          <w:rFonts w:eastAsia="宋体"/>
        </w:rPr>
      </w:pPr>
      <w:r>
        <w:rPr>
          <w:rFonts w:hint="eastAsia" w:eastAsia="宋体"/>
        </w:rPr>
        <w:t>江门产业转移工业园台山园区位于台山工业新城，台山工业新城涵盖台城、水步、大江三个镇（街）大部分区域，规划总面积138平方公里，江门产业转移工业园台山园区规划总面积为616.13公顷，占台山工业新城规划总面积的4.46%。</w:t>
      </w:r>
    </w:p>
    <w:p>
      <w:pPr>
        <w:pStyle w:val="70"/>
        <w:ind w:firstLine="480"/>
        <w:jc w:val="left"/>
        <w:rPr>
          <w:rFonts w:eastAsia="宋体"/>
        </w:rPr>
      </w:pPr>
      <w:r>
        <w:rPr>
          <w:rFonts w:hint="eastAsia" w:eastAsia="宋体"/>
        </w:rPr>
        <w:t>台山产业转移工业园管理委员会委托广州市环境保护工程设计院有限公司根据2011年批复的《江门产业转移工业园台山园区环境影响报告书》对江门产业转移工业园台山园区616.13公顷范围进行跟踪评价。广州市环境保护工程设计院有限公司按照《规划环境影响跟踪评价技术指南（试行）》等技术文件的要求，于2</w:t>
      </w:r>
      <w:r>
        <w:rPr>
          <w:rFonts w:eastAsia="宋体"/>
        </w:rPr>
        <w:t>021年</w:t>
      </w:r>
      <w:r>
        <w:rPr>
          <w:rFonts w:hint="eastAsia" w:eastAsia="宋体"/>
        </w:rPr>
        <w:t>4月编制完成《江门产业转移工业园台山园区环境影响跟踪评价报告书》。</w:t>
      </w:r>
    </w:p>
    <w:p>
      <w:pPr>
        <w:pStyle w:val="15"/>
      </w:pPr>
      <w:bookmarkStart w:id="50" w:name="_Toc97912866"/>
      <w:r>
        <w:rPr>
          <w:rFonts w:hint="eastAsia"/>
        </w:rPr>
        <w:t>5</w:t>
      </w:r>
      <w:r>
        <w:t>.1.2规划环评要求落实情况</w:t>
      </w:r>
      <w:bookmarkEnd w:id="50"/>
    </w:p>
    <w:p>
      <w:pPr>
        <w:pStyle w:val="70"/>
        <w:ind w:firstLine="480"/>
        <w:jc w:val="left"/>
        <w:rPr>
          <w:rFonts w:eastAsia="宋体"/>
        </w:rPr>
      </w:pPr>
      <w:r>
        <w:rPr>
          <w:rFonts w:hint="eastAsia" w:eastAsia="宋体"/>
        </w:rPr>
        <w:t>自2011年取得规划环评审查意见以来，台山园区的规划未进行调整及修编。由于台山核电站的建设推迟，台山核电辅助装备产业也受到较大的影响，台山园区目前在运行企业均不涉及核电辅助装备产业相关企业，原规划的核电辅助装备产业无法按规划发展。目前台山园区在实际开发建设过程中引入产业与原规划产业定位发生了偏移，引入企业包括原规划产业定位中的机械零配件制造、电气机械和器材制造业（电气仪表）、电子设备制造业（电子信息），以及原规划产业定位以外的新材料制造、非金属矿物制品业、家具制造、塑料制品制造、食品制造、有色金属冶炼和压延加工业、日用纸品制造产业。</w:t>
      </w:r>
    </w:p>
    <w:p>
      <w:pPr>
        <w:pStyle w:val="70"/>
        <w:ind w:firstLine="480"/>
        <w:jc w:val="left"/>
        <w:rPr>
          <w:rFonts w:eastAsia="宋体"/>
        </w:rPr>
      </w:pPr>
      <w:r>
        <w:rPr>
          <w:rFonts w:hint="eastAsia" w:eastAsia="宋体"/>
        </w:rPr>
        <w:t>根据进一步完善总体规划和环保规划，优化布局。加强对园区周边村庄、学校等环境敏感点的保护，避免在其上风向或临近区域布置废气或噪声排放量大的企业，防止园区交叉污染，确保其不受影响的要求。目前入驻企业距离村庄、学校等环境敏感点之间的距离较远，台山园区内配套生活区与最近的工业企业厂界距离超过50m，台山园区外最近敏感点富华重工生活区与最近的工业企业富华重工厂界距离超过50m。目前园区内企业不涉及非动力核技术应用产业。</w:t>
      </w:r>
    </w:p>
    <w:p>
      <w:pPr>
        <w:pStyle w:val="70"/>
        <w:ind w:firstLine="480"/>
        <w:jc w:val="left"/>
        <w:rPr>
          <w:rFonts w:eastAsia="宋体"/>
        </w:rPr>
      </w:pPr>
      <w:r>
        <w:rPr>
          <w:rFonts w:hint="eastAsia" w:eastAsia="宋体"/>
        </w:rPr>
        <w:t>通过逐条比对《关于江门产业转移工业园台山园区环境影响报告书审查意见的函》（粤环审[2011]216号）中所提出各项要求与本次跟踪评价调研获取到的园区开发建设实际情况可知，台山园区开发建设期内基本落实了原规划环评审查意见的各项要求。</w:t>
      </w:r>
    </w:p>
    <w:p>
      <w:pPr>
        <w:pStyle w:val="14"/>
      </w:pPr>
      <w:bookmarkStart w:id="51" w:name="_Toc97912867"/>
      <w:bookmarkStart w:id="52" w:name="_Toc19892"/>
      <w:r>
        <w:rPr>
          <w:rFonts w:hint="eastAsia"/>
        </w:rPr>
        <w:t>5</w:t>
      </w:r>
      <w:r>
        <w:t>.2企业环保监督监管情况</w:t>
      </w:r>
      <w:bookmarkEnd w:id="51"/>
      <w:bookmarkEnd w:id="52"/>
    </w:p>
    <w:p>
      <w:pPr>
        <w:pStyle w:val="70"/>
        <w:ind w:firstLine="480"/>
        <w:jc w:val="left"/>
        <w:rPr>
          <w:rFonts w:hint="default" w:eastAsia="宋体"/>
          <w:lang w:val="en-US" w:eastAsia="zh-CN"/>
        </w:rPr>
      </w:pPr>
      <w:r>
        <w:rPr>
          <w:rFonts w:hint="eastAsia" w:eastAsia="宋体"/>
        </w:rPr>
        <w:t>为提高企业对环保政策的了解，</w:t>
      </w:r>
      <w:r>
        <w:rPr>
          <w:rFonts w:hint="eastAsia" w:eastAsia="宋体"/>
          <w:lang w:val="en-US" w:eastAsia="zh-CN"/>
        </w:rPr>
        <w:t>提高三废管理意识，</w:t>
      </w:r>
      <w:r>
        <w:rPr>
          <w:rFonts w:hint="eastAsia" w:eastAsia="宋体"/>
        </w:rPr>
        <w:t>园区</w:t>
      </w:r>
      <w:r>
        <w:rPr>
          <w:rFonts w:hint="eastAsia" w:eastAsia="宋体"/>
          <w:lang w:val="en-US" w:eastAsia="zh-CN"/>
        </w:rPr>
        <w:t>组织</w:t>
      </w:r>
      <w:r>
        <w:rPr>
          <w:rFonts w:hint="eastAsia" w:eastAsia="宋体"/>
        </w:rPr>
        <w:t>企业开展环保主题讲座，</w:t>
      </w:r>
      <w:r>
        <w:rPr>
          <w:rFonts w:hint="eastAsia" w:eastAsia="宋体"/>
          <w:lang w:val="en-US" w:eastAsia="zh-CN"/>
        </w:rPr>
        <w:t>2022年5月份</w:t>
      </w:r>
      <w:r>
        <w:rPr>
          <w:rFonts w:hint="eastAsia" w:eastAsia="宋体"/>
        </w:rPr>
        <w:t>邀请第三方专业人员</w:t>
      </w:r>
      <w:r>
        <w:rPr>
          <w:rFonts w:hint="eastAsia" w:eastAsia="宋体"/>
          <w:lang w:val="en-US" w:eastAsia="zh-CN"/>
        </w:rPr>
        <w:t>于</w:t>
      </w:r>
      <w:r>
        <w:rPr>
          <w:rFonts w:hint="eastAsia" w:eastAsia="宋体"/>
        </w:rPr>
        <w:t>针对</w:t>
      </w:r>
      <w:r>
        <w:rPr>
          <w:rFonts w:hint="eastAsia" w:eastAsia="宋体"/>
          <w:lang w:val="en-US" w:eastAsia="zh-CN"/>
        </w:rPr>
        <w:t>企业三废环保管理（废气、固废）以及巡查企业反馈的问题</w:t>
      </w:r>
      <w:r>
        <w:rPr>
          <w:rFonts w:hint="eastAsia" w:eastAsia="宋体"/>
        </w:rPr>
        <w:t>进行培训</w:t>
      </w:r>
      <w:r>
        <w:rPr>
          <w:rFonts w:hint="eastAsia" w:eastAsia="宋体"/>
          <w:lang w:eastAsia="zh-CN"/>
        </w:rPr>
        <w:t>，</w:t>
      </w:r>
      <w:r>
        <w:rPr>
          <w:rFonts w:hint="eastAsia" w:eastAsia="宋体"/>
        </w:rPr>
        <w:t>提高企业对</w:t>
      </w:r>
      <w:r>
        <w:rPr>
          <w:rFonts w:hint="eastAsia" w:eastAsia="宋体"/>
          <w:lang w:val="en-US" w:eastAsia="zh-CN"/>
        </w:rPr>
        <w:t>废气、固废</w:t>
      </w:r>
      <w:r>
        <w:rPr>
          <w:rFonts w:hint="eastAsia" w:eastAsia="宋体"/>
        </w:rPr>
        <w:t>管理意识</w:t>
      </w:r>
      <w:r>
        <w:rPr>
          <w:rFonts w:hint="eastAsia" w:eastAsia="宋体"/>
          <w:lang w:eastAsia="zh-CN"/>
        </w:rPr>
        <w:t>，</w:t>
      </w:r>
      <w:r>
        <w:rPr>
          <w:rFonts w:hint="eastAsia" w:eastAsia="宋体"/>
          <w:lang w:val="en-US" w:eastAsia="zh-CN"/>
        </w:rPr>
        <w:t>增强规范化。于2022年12月份针对废水排放管理进行培训，提高企业对废水排放管理意识，避免因管理不当造成废水超标排放等问题。</w:t>
      </w:r>
    </w:p>
    <w:p>
      <w:pPr>
        <w:pStyle w:val="70"/>
        <w:ind w:firstLine="480"/>
        <w:jc w:val="left"/>
        <w:rPr>
          <w:rFonts w:eastAsia="宋体"/>
        </w:rPr>
      </w:pPr>
      <w:r>
        <w:rPr>
          <w:rFonts w:eastAsia="宋体"/>
        </w:rPr>
        <w:t>园区聘请第三方对园区企业定期检查</w:t>
      </w:r>
      <w:r>
        <w:rPr>
          <w:rFonts w:hint="eastAsia" w:eastAsia="宋体"/>
        </w:rPr>
        <w:t>环保手续办理情况、废气废水治理设施设置合法合规性及运行排放情况、危险废物的贮存和去向（固废合同的签订）情况等，做到“一企一档”</w:t>
      </w:r>
      <w:r>
        <w:rPr>
          <w:rFonts w:hint="eastAsia" w:eastAsia="宋体"/>
          <w:lang w:eastAsia="zh-CN"/>
        </w:rPr>
        <w:t>，</w:t>
      </w:r>
      <w:r>
        <w:rPr>
          <w:rFonts w:hint="eastAsia" w:eastAsia="宋体"/>
          <w:lang w:val="en-US" w:eastAsia="zh-CN"/>
        </w:rPr>
        <w:t>对档案进行实时更新补充。</w:t>
      </w:r>
      <w:r>
        <w:rPr>
          <w:rFonts w:hint="eastAsia" w:eastAsia="宋体"/>
        </w:rPr>
        <w:t>做到了环保监管底数清、问题明，切实做好企业环保问题整改工作。</w:t>
      </w:r>
    </w:p>
    <w:p>
      <w:pPr>
        <w:pStyle w:val="70"/>
        <w:ind w:firstLine="480"/>
        <w:jc w:val="left"/>
        <w:rPr>
          <w:rFonts w:eastAsia="宋体"/>
        </w:rPr>
      </w:pPr>
      <w:r>
        <w:rPr>
          <w:rFonts w:hint="eastAsia" w:eastAsia="宋体"/>
        </w:rPr>
        <w:t>加大辖区内重点排污单位的监督检查，采取定期或不定期组织暗查的方式，对重点排污单位污染源防治设施的运行情况、在线监控设施安装联网运行情况、污染物排放达标情况进行突击检查，以高压的环保态势倒逼企业守法排污。对违法排污、偷排漏排、屡查屡犯的企业，依法从重从严处理。</w:t>
      </w:r>
    </w:p>
    <w:p>
      <w:pPr>
        <w:pStyle w:val="14"/>
      </w:pPr>
      <w:bookmarkStart w:id="53" w:name="_Toc29085"/>
      <w:bookmarkStart w:id="54" w:name="_Toc97912868"/>
      <w:r>
        <w:rPr>
          <w:rFonts w:hint="eastAsia"/>
        </w:rPr>
        <w:t>5</w:t>
      </w:r>
      <w:r>
        <w:t>.3园区</w:t>
      </w:r>
      <w:r>
        <w:rPr>
          <w:rFonts w:hint="eastAsia"/>
        </w:rPr>
        <w:t>环境风险防控措施落实</w:t>
      </w:r>
      <w:r>
        <w:t>情况</w:t>
      </w:r>
      <w:bookmarkEnd w:id="53"/>
      <w:bookmarkEnd w:id="54"/>
    </w:p>
    <w:p>
      <w:pPr>
        <w:pStyle w:val="70"/>
        <w:ind w:firstLine="480"/>
        <w:jc w:val="left"/>
        <w:rPr>
          <w:rFonts w:eastAsia="宋体"/>
        </w:rPr>
      </w:pPr>
      <w:r>
        <w:rPr>
          <w:rFonts w:hint="eastAsia" w:eastAsia="宋体"/>
        </w:rPr>
        <w:t>建设环境风险防控设施，构建企业、园区和生态环境部门三级环境风险防控联动体系，增强园区风险防控能力，开展环境风险预警预报。产生恶臭污染物的行业应当科学选址，设置合理的防护距离，并安装净化装置或者采取其他措施，防止排放恶臭污染物。企业事故应急池应逐步实现互连互通，并合理建设隔离带和绿化防护带。加强应急保障能力建设，企业应按照相关规定制定突发环境事件 应急预案，落实环境风险防范措施。园区管理机构应定期开展环境风险评估，编制完善综合环境应急预案并备案，整合应急资源，储备环境应急物资及装备，定期组织开展应急演练，全面提升园区突发环境事件应急处理能力。</w:t>
      </w:r>
    </w:p>
    <w:p>
      <w:pPr>
        <w:pStyle w:val="70"/>
        <w:ind w:firstLine="480"/>
        <w:jc w:val="left"/>
        <w:rPr>
          <w:rFonts w:hint="default" w:eastAsia="宋体"/>
          <w:lang w:val="en-US" w:eastAsia="zh-CN"/>
        </w:rPr>
      </w:pPr>
      <w:r>
        <w:rPr>
          <w:rFonts w:hint="eastAsia" w:eastAsia="宋体"/>
        </w:rPr>
        <w:t>2</w:t>
      </w:r>
      <w:r>
        <w:rPr>
          <w:rFonts w:eastAsia="宋体"/>
        </w:rPr>
        <w:t>02</w:t>
      </w:r>
      <w:r>
        <w:rPr>
          <w:rFonts w:hint="eastAsia" w:eastAsia="宋体"/>
          <w:lang w:val="en-US" w:eastAsia="zh-CN"/>
        </w:rPr>
        <w:t>2</w:t>
      </w:r>
      <w:r>
        <w:rPr>
          <w:rFonts w:eastAsia="宋体"/>
        </w:rPr>
        <w:t>年园区</w:t>
      </w:r>
      <w:r>
        <w:rPr>
          <w:rFonts w:hint="eastAsia" w:eastAsia="宋体"/>
          <w:lang w:val="en-US" w:eastAsia="zh-CN"/>
        </w:rPr>
        <w:t>已</w:t>
      </w:r>
      <w:r>
        <w:rPr>
          <w:rFonts w:eastAsia="宋体"/>
        </w:rPr>
        <w:t>建立了突发环境事件应急组织体系</w:t>
      </w:r>
      <w:r>
        <w:rPr>
          <w:rFonts w:hint="eastAsia" w:eastAsia="宋体"/>
        </w:rPr>
        <w:t>，</w:t>
      </w:r>
      <w:r>
        <w:rPr>
          <w:rFonts w:eastAsia="宋体"/>
        </w:rPr>
        <w:t>明确了应急原则</w:t>
      </w:r>
      <w:r>
        <w:rPr>
          <w:rFonts w:hint="eastAsia" w:eastAsia="宋体"/>
        </w:rPr>
        <w:t>，</w:t>
      </w:r>
      <w:r>
        <w:rPr>
          <w:rFonts w:eastAsia="宋体"/>
        </w:rPr>
        <w:t>环境应急领导小组成员及职责</w:t>
      </w:r>
      <w:r>
        <w:rPr>
          <w:rFonts w:hint="eastAsia" w:eastAsia="宋体"/>
        </w:rPr>
        <w:t>。</w:t>
      </w:r>
      <w:r>
        <w:rPr>
          <w:rFonts w:eastAsia="宋体"/>
        </w:rPr>
        <w:t>突发环境事件应急组织体系由应急领导小组</w:t>
      </w:r>
      <w:r>
        <w:rPr>
          <w:rFonts w:hint="eastAsia" w:eastAsia="宋体"/>
        </w:rPr>
        <w:t>、</w:t>
      </w:r>
      <w:r>
        <w:rPr>
          <w:rFonts w:eastAsia="宋体"/>
        </w:rPr>
        <w:t>专家组和应急救援队伍等组成</w:t>
      </w:r>
      <w:r>
        <w:rPr>
          <w:rFonts w:hint="eastAsia" w:eastAsia="宋体"/>
        </w:rPr>
        <w:t>。</w:t>
      </w:r>
      <w:r>
        <w:rPr>
          <w:rFonts w:hint="eastAsia" w:eastAsia="宋体"/>
          <w:lang w:val="en-US" w:eastAsia="zh-CN"/>
        </w:rPr>
        <w:t>2022年园区已开展突发环境事件应急预案，并完成专家评审会议。</w:t>
      </w:r>
    </w:p>
    <w:p>
      <w:pPr>
        <w:pStyle w:val="14"/>
      </w:pPr>
      <w:bookmarkStart w:id="55" w:name="_Toc97912869"/>
      <w:bookmarkStart w:id="56" w:name="_Toc3909"/>
      <w:r>
        <w:rPr>
          <w:rFonts w:hint="eastAsia"/>
        </w:rPr>
        <w:t>5</w:t>
      </w:r>
      <w:r>
        <w:t>.4污水处理厂及其管网建设情况</w:t>
      </w:r>
      <w:bookmarkEnd w:id="55"/>
      <w:bookmarkEnd w:id="56"/>
    </w:p>
    <w:p>
      <w:pPr>
        <w:pStyle w:val="70"/>
        <w:ind w:firstLine="480"/>
        <w:jc w:val="left"/>
        <w:rPr>
          <w:rFonts w:eastAsia="宋体"/>
        </w:rPr>
      </w:pPr>
      <w:r>
        <w:rPr>
          <w:rFonts w:hint="eastAsia" w:eastAsia="宋体"/>
        </w:rPr>
        <w:t>园区内已建成台山工业新城水步污水处理厂。台山工业新城水步污水处理厂处理规模1万吨/日，委托江门市崖门新财富环保工业有限公司代运营。两座污水处理厂出水均符合标准。</w:t>
      </w:r>
    </w:p>
    <w:p>
      <w:pPr>
        <w:pStyle w:val="70"/>
        <w:ind w:firstLine="480"/>
        <w:jc w:val="left"/>
        <w:rPr>
          <w:rFonts w:eastAsia="宋体"/>
        </w:rPr>
      </w:pPr>
      <w:r>
        <w:rPr>
          <w:rFonts w:hint="eastAsia" w:eastAsia="宋体"/>
        </w:rPr>
        <w:t>园区企业废水接入管网排放至台山工业新城水步污水处理厂处理达标后排放；园区企业生产废水由企业自建污染防治处置设施处理后达标排放至园区废水管网，经园区污水处理厂处理达标后排入纳污水体。</w:t>
      </w:r>
    </w:p>
    <w:p>
      <w:pPr>
        <w:pStyle w:val="70"/>
        <w:ind w:firstLine="480"/>
        <w:jc w:val="left"/>
        <w:rPr>
          <w:rFonts w:hint="eastAsia" w:eastAsia="宋体"/>
        </w:rPr>
      </w:pPr>
      <w:r>
        <w:rPr>
          <w:rFonts w:hint="eastAsia" w:eastAsia="宋体"/>
        </w:rPr>
        <w:t>保障污水处理设施正常运行，提升处理效能。委托第三方专业机构全面细致排查水步污水处理厂处理设施运行情况，编制完成《台山工业新城水步污水处理系统提质增效“一厂一策”系统化整治方案》。根据排查结果完成污水主管检修工作，完善末端截污，加强对存在问题管段的检测和修复等工作，减少污水直排入自然水体。同时明确管委会和属地镇责任，在确保主管网运行良好的同时，配合属地镇减少外水汇入，增加入管网污水水量，提升污水处理厂的进厂污水水量和进水浓度指标。同时建立健全长效机制，建管并重，确保污水厂及主管网具备长期高效运行的能力。</w:t>
      </w:r>
    </w:p>
    <w:p>
      <w:pPr>
        <w:pStyle w:val="70"/>
        <w:ind w:firstLine="480"/>
        <w:jc w:val="left"/>
        <w:rPr>
          <w:rFonts w:hint="default" w:eastAsia="宋体"/>
          <w:lang w:val="en-US" w:eastAsia="zh-CN"/>
        </w:rPr>
      </w:pPr>
      <w:r>
        <w:rPr>
          <w:rFonts w:hint="eastAsia" w:eastAsia="宋体"/>
          <w:lang w:val="en-US" w:eastAsia="zh-CN"/>
        </w:rPr>
        <w:t>为保障污水处理厂的进水水质的稳定性，委托第三方资质单位定期针对园区的污水管网内废水进行采样检测，2022年的检测频次为每月检测一次，检测纳污范围内的进水水质情况，避免超标水质对污水处理厂处理设施造成冲击性影响，维护和确保废水处理设施的处理能力。</w:t>
      </w:r>
    </w:p>
    <w:p>
      <w:pPr>
        <w:pStyle w:val="70"/>
        <w:ind w:firstLine="480"/>
        <w:jc w:val="left"/>
        <w:rPr>
          <w:rFonts w:eastAsia="宋体"/>
        </w:rPr>
      </w:pPr>
      <w:r>
        <w:rPr>
          <w:rFonts w:hint="eastAsia" w:eastAsia="宋体"/>
        </w:rPr>
        <w:t>不断完善污水处理设施及管网建设</w:t>
      </w:r>
      <w:r>
        <w:rPr>
          <w:rFonts w:hint="eastAsia" w:eastAsia="宋体"/>
          <w:lang w:eastAsia="zh-CN"/>
        </w:rPr>
        <w:t>，全面提升工业废水收集处理效能</w:t>
      </w:r>
      <w:r>
        <w:rPr>
          <w:rFonts w:hint="eastAsia" w:eastAsia="宋体"/>
        </w:rPr>
        <w:t>。建成台山市工业新城北组团污水管网，包括陈宜禧路（福安路-水步大道段）、东环路（文华B区段）、水步大道（东环路-井岗村段），建成后将收集工业新城机械装备区及水步镇文华工业区B、C区的工业废水和生活污水，大大减少污水直排入自然水体，对纳污水体及潭江的水质达标起到正面的作用。</w:t>
      </w:r>
    </w:p>
    <w:p>
      <w:pPr>
        <w:pStyle w:val="70"/>
        <w:ind w:firstLine="0" w:firstLineChars="0"/>
        <w:jc w:val="left"/>
        <w:rPr>
          <w:rFonts w:eastAsia="宋体"/>
        </w:rPr>
        <w:sectPr>
          <w:pgSz w:w="11906" w:h="16838"/>
          <w:pgMar w:top="1440" w:right="1800" w:bottom="1440" w:left="1800" w:header="851" w:footer="992" w:gutter="0"/>
          <w:cols w:space="720" w:num="1"/>
          <w:docGrid w:type="lines" w:linePitch="312" w:charSpace="0"/>
        </w:sectPr>
      </w:pPr>
    </w:p>
    <w:p>
      <w:pPr>
        <w:pStyle w:val="13"/>
        <w:rPr>
          <w:rFonts w:hint="default" w:eastAsia="宋体"/>
          <w:lang w:val="en-US" w:eastAsia="zh-CN"/>
        </w:rPr>
      </w:pPr>
      <w:bookmarkStart w:id="57" w:name="_Toc97912870"/>
      <w:bookmarkStart w:id="58" w:name="_Toc12114"/>
      <w:r>
        <w:t>六</w:t>
      </w:r>
      <w:r>
        <w:rPr>
          <w:rFonts w:hint="eastAsia"/>
          <w:lang w:eastAsia="zh-CN"/>
        </w:rPr>
        <w:t>、</w:t>
      </w:r>
      <w:r>
        <w:t>结论及</w:t>
      </w:r>
      <w:bookmarkEnd w:id="57"/>
      <w:r>
        <w:rPr>
          <w:rFonts w:hint="eastAsia"/>
          <w:lang w:val="en-US" w:eastAsia="zh-CN"/>
        </w:rPr>
        <w:t>计划</w:t>
      </w:r>
      <w:bookmarkEnd w:id="58"/>
    </w:p>
    <w:p>
      <w:pPr>
        <w:pStyle w:val="14"/>
      </w:pPr>
      <w:bookmarkStart w:id="59" w:name="_Toc25741"/>
      <w:bookmarkStart w:id="60" w:name="_Toc97912871"/>
      <w:r>
        <w:rPr>
          <w:rFonts w:hint="eastAsia"/>
        </w:rPr>
        <w:t>6</w:t>
      </w:r>
      <w:r>
        <w:t>.1结论</w:t>
      </w:r>
      <w:bookmarkEnd w:id="59"/>
      <w:bookmarkEnd w:id="60"/>
    </w:p>
    <w:p>
      <w:pPr>
        <w:pStyle w:val="70"/>
        <w:ind w:firstLine="480"/>
        <w:jc w:val="left"/>
        <w:rPr>
          <w:rFonts w:eastAsia="宋体"/>
        </w:rPr>
      </w:pPr>
      <w:r>
        <w:rPr>
          <w:rFonts w:hint="eastAsia" w:eastAsia="宋体"/>
        </w:rPr>
        <w:t>按照相关文件的要求，每年按环境要素对园区区域环境质量进行统一监测和评价，梳理产业园区主要污染源和污染物排放清单，开展编制年度环境管理状况评估报告。</w:t>
      </w:r>
    </w:p>
    <w:p>
      <w:pPr>
        <w:pStyle w:val="70"/>
        <w:ind w:firstLine="480"/>
        <w:jc w:val="left"/>
        <w:rPr>
          <w:rFonts w:eastAsia="宋体"/>
        </w:rPr>
      </w:pPr>
      <w:r>
        <w:rPr>
          <w:rFonts w:eastAsia="宋体"/>
        </w:rPr>
        <w:t>202</w:t>
      </w:r>
      <w:r>
        <w:rPr>
          <w:rFonts w:hint="eastAsia" w:eastAsia="宋体"/>
          <w:lang w:val="en-US" w:eastAsia="zh-CN"/>
        </w:rPr>
        <w:t>2</w:t>
      </w:r>
      <w:r>
        <w:rPr>
          <w:rFonts w:eastAsia="宋体"/>
        </w:rPr>
        <w:t>年园区严格把控入园标准</w:t>
      </w:r>
      <w:r>
        <w:rPr>
          <w:rFonts w:hint="eastAsia" w:eastAsia="宋体"/>
        </w:rPr>
        <w:t>，</w:t>
      </w:r>
      <w:r>
        <w:rPr>
          <w:rFonts w:eastAsia="宋体"/>
        </w:rPr>
        <w:t>入园项目依法依规开展环评工作</w:t>
      </w:r>
      <w:r>
        <w:rPr>
          <w:rFonts w:hint="eastAsia" w:eastAsia="宋体"/>
        </w:rPr>
        <w:t>，</w:t>
      </w:r>
      <w:r>
        <w:rPr>
          <w:rFonts w:eastAsia="宋体"/>
        </w:rPr>
        <w:t>办理环保审批手续</w:t>
      </w:r>
      <w:r>
        <w:rPr>
          <w:rFonts w:hint="eastAsia" w:eastAsia="宋体"/>
        </w:rPr>
        <w:t>，</w:t>
      </w:r>
      <w:r>
        <w:rPr>
          <w:rFonts w:eastAsia="宋体"/>
        </w:rPr>
        <w:t>及时对入园企业的污染物排放情况进行统计</w:t>
      </w:r>
      <w:r>
        <w:rPr>
          <w:rFonts w:hint="eastAsia" w:eastAsia="宋体"/>
        </w:rPr>
        <w:t>，</w:t>
      </w:r>
      <w:r>
        <w:rPr>
          <w:rFonts w:eastAsia="宋体"/>
        </w:rPr>
        <w:t>核对园区总量情况</w:t>
      </w:r>
      <w:r>
        <w:rPr>
          <w:rFonts w:hint="eastAsia" w:eastAsia="宋体"/>
        </w:rPr>
        <w:t>，其中</w:t>
      </w:r>
      <w:r>
        <w:rPr>
          <w:rFonts w:hint="eastAsia" w:ascii="Times New Roman" w:hAnsi="Times New Roman"/>
          <w:color w:val="000000"/>
          <w:sz w:val="24"/>
        </w:rPr>
        <w:t>NO</w:t>
      </w:r>
      <w:r>
        <w:rPr>
          <w:rFonts w:hint="eastAsia" w:ascii="Times New Roman" w:hAnsi="Times New Roman"/>
          <w:color w:val="000000"/>
          <w:sz w:val="24"/>
          <w:vertAlign w:val="subscript"/>
        </w:rPr>
        <w:t>X</w:t>
      </w:r>
      <w:r>
        <w:rPr>
          <w:rFonts w:hint="eastAsia" w:ascii="Times New Roman" w:hAnsi="Times New Roman"/>
          <w:color w:val="000000"/>
          <w:sz w:val="24"/>
          <w:lang w:val="en-US" w:eastAsia="zh-CN"/>
        </w:rPr>
        <w:t>、</w:t>
      </w:r>
      <w:r>
        <w:rPr>
          <w:rFonts w:hint="eastAsia" w:eastAsia="宋体"/>
        </w:rPr>
        <w:t>颗粒物和VOCs总量超过规划环评的预测值。</w:t>
      </w:r>
      <w:r>
        <w:rPr>
          <w:rFonts w:eastAsia="宋体"/>
        </w:rPr>
        <w:t>同时</w:t>
      </w:r>
      <w:r>
        <w:rPr>
          <w:rFonts w:hint="eastAsia" w:eastAsia="宋体"/>
        </w:rPr>
        <w:t>，</w:t>
      </w:r>
      <w:r>
        <w:rPr>
          <w:rFonts w:eastAsia="宋体"/>
        </w:rPr>
        <w:t>园区出台相关环保管理规定</w:t>
      </w:r>
      <w:r>
        <w:rPr>
          <w:rFonts w:hint="eastAsia" w:eastAsia="宋体"/>
        </w:rPr>
        <w:t>，</w:t>
      </w:r>
      <w:r>
        <w:rPr>
          <w:rFonts w:eastAsia="宋体"/>
        </w:rPr>
        <w:t>加强对入园企业废水</w:t>
      </w:r>
      <w:r>
        <w:rPr>
          <w:rFonts w:hint="eastAsia" w:eastAsia="宋体"/>
        </w:rPr>
        <w:t>、</w:t>
      </w:r>
      <w:r>
        <w:rPr>
          <w:rFonts w:eastAsia="宋体"/>
        </w:rPr>
        <w:t>废气排放</w:t>
      </w:r>
      <w:r>
        <w:rPr>
          <w:rFonts w:hint="eastAsia" w:eastAsia="宋体"/>
        </w:rPr>
        <w:t>，</w:t>
      </w:r>
      <w:r>
        <w:rPr>
          <w:rFonts w:eastAsia="宋体"/>
        </w:rPr>
        <w:t>固体废物管理工作</w:t>
      </w:r>
      <w:r>
        <w:rPr>
          <w:rFonts w:hint="eastAsia" w:eastAsia="宋体"/>
        </w:rPr>
        <w:t>，</w:t>
      </w:r>
      <w:r>
        <w:rPr>
          <w:rFonts w:eastAsia="宋体"/>
        </w:rPr>
        <w:t>强化对企业管理人员环保管理意识</w:t>
      </w:r>
      <w:r>
        <w:rPr>
          <w:rFonts w:hint="eastAsia" w:eastAsia="宋体"/>
        </w:rPr>
        <w:t>。</w:t>
      </w:r>
      <w:r>
        <w:rPr>
          <w:rFonts w:eastAsia="宋体"/>
        </w:rPr>
        <w:t>此外</w:t>
      </w:r>
      <w:r>
        <w:rPr>
          <w:rFonts w:hint="eastAsia" w:eastAsia="宋体"/>
        </w:rPr>
        <w:t>，</w:t>
      </w:r>
      <w:r>
        <w:rPr>
          <w:rFonts w:eastAsia="宋体"/>
        </w:rPr>
        <w:t>园区通过加强环保管理</w:t>
      </w:r>
      <w:r>
        <w:rPr>
          <w:rFonts w:hint="eastAsia" w:eastAsia="宋体"/>
        </w:rPr>
        <w:t>，</w:t>
      </w:r>
      <w:r>
        <w:rPr>
          <w:rFonts w:eastAsia="宋体"/>
        </w:rPr>
        <w:t>有效地保持了园区环境质量</w:t>
      </w:r>
      <w:r>
        <w:rPr>
          <w:rFonts w:hint="eastAsia" w:eastAsia="宋体"/>
        </w:rPr>
        <w:t>，</w:t>
      </w:r>
      <w:r>
        <w:rPr>
          <w:rFonts w:eastAsia="宋体"/>
        </w:rPr>
        <w:t>控制在优良稳定范围</w:t>
      </w:r>
      <w:r>
        <w:rPr>
          <w:rFonts w:hint="eastAsia" w:eastAsia="宋体"/>
        </w:rPr>
        <w:t>。园区建立了突发环境事件应急组织体系，明确了应急原则，定期开展环境应急演练</w:t>
      </w:r>
      <w:r>
        <w:rPr>
          <w:rFonts w:hint="eastAsia" w:eastAsia="宋体"/>
          <w:lang w:eastAsia="zh-CN"/>
        </w:rPr>
        <w:t>，</w:t>
      </w:r>
      <w:r>
        <w:rPr>
          <w:rFonts w:hint="eastAsia" w:eastAsia="宋体"/>
          <w:lang w:val="en-US" w:eastAsia="zh-CN"/>
        </w:rPr>
        <w:t>并已</w:t>
      </w:r>
      <w:r>
        <w:rPr>
          <w:rFonts w:hint="eastAsia" w:eastAsia="宋体"/>
          <w:lang w:eastAsia="zh-CN"/>
        </w:rPr>
        <w:t>开展突发环境事件应急预案，完成专家评审会议</w:t>
      </w:r>
      <w:r>
        <w:rPr>
          <w:rFonts w:hint="eastAsia" w:eastAsia="宋体"/>
        </w:rPr>
        <w:t>。不断完善污水处理设施及管网建设，为保障污水处理设施正常运行，提升处理效能，编制完成《台山工业新城水步污水处理系统提质增效“一厂一策”系统化整治方案》等。</w:t>
      </w:r>
      <w:r>
        <w:rPr>
          <w:rFonts w:hint="eastAsia" w:eastAsia="宋体"/>
          <w:lang w:val="en-US" w:eastAsia="zh-CN"/>
        </w:rPr>
        <w:t>定期对管网内废水进行检测，确保进水水质稳定性，维护废水处理设施处理能力。</w:t>
      </w:r>
      <w:r>
        <w:rPr>
          <w:rFonts w:hint="eastAsia" w:eastAsia="宋体"/>
        </w:rPr>
        <w:t>2</w:t>
      </w:r>
      <w:r>
        <w:rPr>
          <w:rFonts w:eastAsia="宋体"/>
        </w:rPr>
        <w:t>02</w:t>
      </w:r>
      <w:r>
        <w:rPr>
          <w:rFonts w:hint="eastAsia" w:eastAsia="宋体"/>
          <w:lang w:val="en-US" w:eastAsia="zh-CN"/>
        </w:rPr>
        <w:t>2</w:t>
      </w:r>
      <w:r>
        <w:rPr>
          <w:rFonts w:eastAsia="宋体"/>
        </w:rPr>
        <w:t>年园区无重大环境污染事故发生</w:t>
      </w:r>
      <w:r>
        <w:rPr>
          <w:rFonts w:hint="eastAsia" w:eastAsia="宋体"/>
        </w:rPr>
        <w:t>，</w:t>
      </w:r>
      <w:r>
        <w:rPr>
          <w:rFonts w:eastAsia="宋体"/>
        </w:rPr>
        <w:t>没有因生态环境保护违法违规行为受到生态环境部门处罚</w:t>
      </w:r>
      <w:r>
        <w:rPr>
          <w:rFonts w:hint="eastAsia" w:eastAsia="宋体"/>
        </w:rPr>
        <w:t>。</w:t>
      </w:r>
    </w:p>
    <w:p>
      <w:pPr>
        <w:pStyle w:val="14"/>
        <w:rPr>
          <w:rFonts w:hint="eastAsia" w:eastAsia="宋体"/>
          <w:lang w:eastAsia="zh-CN"/>
        </w:rPr>
      </w:pPr>
      <w:bookmarkStart w:id="61" w:name="_Toc97912872"/>
      <w:bookmarkStart w:id="62" w:name="_Toc17259"/>
      <w:r>
        <w:rPr>
          <w:rFonts w:hint="eastAsia"/>
        </w:rPr>
        <w:t>6</w:t>
      </w:r>
      <w:r>
        <w:t>.2</w:t>
      </w:r>
      <w:bookmarkEnd w:id="61"/>
      <w:r>
        <w:rPr>
          <w:rFonts w:hint="eastAsia"/>
          <w:lang w:val="en-US" w:eastAsia="zh-CN"/>
        </w:rPr>
        <w:t>计划</w:t>
      </w:r>
      <w:bookmarkEnd w:id="62"/>
    </w:p>
    <w:p>
      <w:pPr>
        <w:pStyle w:val="70"/>
        <w:numPr>
          <w:ilvl w:val="0"/>
          <w:numId w:val="2"/>
        </w:numPr>
        <w:ind w:firstLine="480"/>
        <w:jc w:val="left"/>
        <w:rPr>
          <w:rFonts w:hint="eastAsia" w:eastAsia="宋体"/>
          <w:lang w:val="en-US" w:eastAsia="zh-CN"/>
        </w:rPr>
      </w:pPr>
      <w:r>
        <w:rPr>
          <w:rFonts w:hint="eastAsia" w:eastAsia="宋体"/>
          <w:lang w:val="en-US" w:eastAsia="zh-CN"/>
        </w:rPr>
        <w:t>进一步严把园区企业准入关，按环境准入负面清单、园区产业准入标准、产业园发展规划和主导产业的要求合理引进项目，要求所有入园项目均办理了环评审批手续。</w:t>
      </w:r>
    </w:p>
    <w:p>
      <w:pPr>
        <w:pStyle w:val="70"/>
        <w:numPr>
          <w:ilvl w:val="0"/>
          <w:numId w:val="2"/>
        </w:numPr>
        <w:ind w:firstLine="480"/>
        <w:jc w:val="left"/>
        <w:rPr>
          <w:rFonts w:eastAsia="宋体"/>
        </w:rPr>
      </w:pPr>
      <w:r>
        <w:rPr>
          <w:rFonts w:hint="eastAsia" w:eastAsia="宋体"/>
          <w:lang w:val="en-US" w:eastAsia="zh-CN"/>
        </w:rPr>
        <w:t>进一步</w:t>
      </w:r>
      <w:r>
        <w:rPr>
          <w:rFonts w:hint="eastAsia" w:eastAsia="宋体"/>
        </w:rPr>
        <w:t>构建企业、园区和生态环境部门三级风险防控联动体系，制定园区环境风险事故防范和应急预案，整合应急资源，储备环境应急物资及装备，定期组织开展应急演练，完善企业突发环境事件应急预案备案手续，全面提升园区突发环境事件应急处理能力。</w:t>
      </w:r>
    </w:p>
    <w:p>
      <w:pPr>
        <w:pStyle w:val="70"/>
        <w:ind w:firstLine="480"/>
        <w:jc w:val="left"/>
        <w:rPr>
          <w:rFonts w:eastAsia="宋体"/>
        </w:rPr>
      </w:pPr>
      <w:r>
        <w:rPr>
          <w:rFonts w:hint="eastAsia" w:eastAsia="宋体"/>
          <w:lang w:eastAsia="zh-CN"/>
        </w:rPr>
        <w:t>（</w:t>
      </w:r>
      <w:r>
        <w:rPr>
          <w:rFonts w:hint="eastAsia" w:eastAsia="宋体"/>
          <w:lang w:val="en-US" w:eastAsia="zh-CN"/>
        </w:rPr>
        <w:t>3</w:t>
      </w:r>
      <w:r>
        <w:rPr>
          <w:rFonts w:hint="eastAsia" w:eastAsia="宋体"/>
          <w:lang w:eastAsia="zh-CN"/>
        </w:rPr>
        <w:t>）</w:t>
      </w:r>
      <w:r>
        <w:rPr>
          <w:rFonts w:hint="eastAsia" w:eastAsia="宋体"/>
        </w:rPr>
        <w:t>园区所在区域地表水及地下水环境质量不达标，园区及周边区域今后需进一步加大力度降低各类污染物的排放，加强园区内各河道的综合整治工作，同时加大污水管网配套设施的建设。其中</w:t>
      </w:r>
      <w:r>
        <w:rPr>
          <w:rFonts w:hint="eastAsia" w:ascii="Times New Roman" w:hAnsi="Times New Roman"/>
          <w:color w:val="000000"/>
          <w:sz w:val="24"/>
        </w:rPr>
        <w:t>NO</w:t>
      </w:r>
      <w:r>
        <w:rPr>
          <w:rFonts w:hint="eastAsia" w:ascii="Times New Roman" w:hAnsi="Times New Roman"/>
          <w:color w:val="000000"/>
          <w:sz w:val="24"/>
          <w:vertAlign w:val="subscript"/>
        </w:rPr>
        <w:t>X</w:t>
      </w:r>
      <w:r>
        <w:rPr>
          <w:rFonts w:hint="eastAsia" w:eastAsia="宋体"/>
          <w:lang w:val="en-US" w:eastAsia="zh-CN"/>
        </w:rPr>
        <w:t>、</w:t>
      </w:r>
      <w:r>
        <w:rPr>
          <w:rFonts w:hint="eastAsia" w:eastAsia="宋体"/>
        </w:rPr>
        <w:t>颗粒物和VOCs总量超过规划环评的预测值，</w:t>
      </w:r>
      <w:r>
        <w:rPr>
          <w:rFonts w:hint="eastAsia" w:eastAsia="宋体"/>
          <w:lang w:val="en-US" w:eastAsia="zh-CN"/>
        </w:rPr>
        <w:t>计划</w:t>
      </w:r>
      <w:r>
        <w:rPr>
          <w:rFonts w:hint="eastAsia" w:eastAsia="宋体"/>
        </w:rPr>
        <w:t>对大气污染物排放量较大的现有企业，应按照相关政策、行业规范及当地生态环境主管部门的要求，强化 VOCs 污染源排查和治理设施管理，提高废气的处理效率，安装在线监控设施，加强对重点行业的强制性清洁生产审核，改善区域大气环境质量。</w:t>
      </w:r>
    </w:p>
    <w:p>
      <w:pPr>
        <w:pStyle w:val="70"/>
        <w:ind w:firstLine="480"/>
        <w:jc w:val="left"/>
        <w:rPr>
          <w:rFonts w:eastAsia="宋体"/>
        </w:rPr>
      </w:pPr>
      <w:r>
        <w:rPr>
          <w:rFonts w:hint="eastAsia" w:eastAsia="宋体"/>
          <w:lang w:eastAsia="zh-CN"/>
        </w:rPr>
        <w:t>（</w:t>
      </w:r>
      <w:r>
        <w:rPr>
          <w:rFonts w:hint="eastAsia" w:eastAsia="宋体"/>
          <w:lang w:val="en-US" w:eastAsia="zh-CN"/>
        </w:rPr>
        <w:t>4</w:t>
      </w:r>
      <w:r>
        <w:rPr>
          <w:rFonts w:hint="eastAsia" w:eastAsia="宋体"/>
          <w:lang w:eastAsia="zh-CN"/>
        </w:rPr>
        <w:t>）</w:t>
      </w:r>
      <w:r>
        <w:rPr>
          <w:rFonts w:hint="eastAsia" w:eastAsia="宋体"/>
          <w:lang w:val="en-US" w:eastAsia="zh-CN"/>
        </w:rPr>
        <w:t>进一步</w:t>
      </w:r>
      <w:r>
        <w:rPr>
          <w:rFonts w:hint="eastAsia" w:eastAsia="宋体"/>
        </w:rPr>
        <w:t>完善</w:t>
      </w:r>
      <w:r>
        <w:rPr>
          <w:rFonts w:hint="eastAsia" w:eastAsia="宋体"/>
          <w:lang w:val="en-US" w:eastAsia="zh-CN"/>
        </w:rPr>
        <w:t>纳污管网</w:t>
      </w:r>
      <w:r>
        <w:rPr>
          <w:rFonts w:hint="eastAsia" w:eastAsia="宋体"/>
        </w:rPr>
        <w:t>建设，根据园区发展情况，结合区域水污染防治要求，</w:t>
      </w:r>
      <w:r>
        <w:rPr>
          <w:rFonts w:hint="eastAsia" w:eastAsia="宋体"/>
          <w:lang w:val="en-US" w:eastAsia="zh-CN"/>
        </w:rPr>
        <w:t>完善</w:t>
      </w:r>
      <w:r>
        <w:rPr>
          <w:rFonts w:hint="eastAsia" w:eastAsia="宋体"/>
        </w:rPr>
        <w:t>台山市工业新城水步污水处理系统三期管网工程，进一步完善园区及周边管网建设。</w:t>
      </w:r>
    </w:p>
    <w:p>
      <w:pPr>
        <w:pStyle w:val="70"/>
        <w:ind w:firstLine="480"/>
        <w:jc w:val="left"/>
        <w:rPr>
          <w:rFonts w:eastAsia="宋体"/>
        </w:rPr>
      </w:pPr>
    </w:p>
    <w:p>
      <w:pPr>
        <w:pStyle w:val="70"/>
        <w:ind w:firstLine="0" w:firstLineChars="0"/>
        <w:jc w:val="left"/>
        <w:rPr>
          <w:rFonts w:eastAsia="宋体"/>
        </w:rPr>
      </w:pPr>
    </w:p>
    <w:p>
      <w:pPr>
        <w:pStyle w:val="70"/>
        <w:ind w:firstLine="0" w:firstLineChars="0"/>
        <w:jc w:val="left"/>
        <w:rPr>
          <w:rFonts w:eastAsia="宋体"/>
        </w:rPr>
      </w:pPr>
    </w:p>
    <w:p>
      <w:pPr>
        <w:pStyle w:val="70"/>
        <w:ind w:firstLine="0" w:firstLineChars="0"/>
        <w:jc w:val="left"/>
        <w:rPr>
          <w:rFonts w:eastAsia="宋体"/>
        </w:rPr>
      </w:pPr>
    </w:p>
    <w:p>
      <w:pPr>
        <w:pStyle w:val="70"/>
        <w:ind w:firstLine="0" w:firstLineChars="0"/>
        <w:jc w:val="left"/>
        <w:rPr>
          <w:rFonts w:eastAsia="宋体"/>
        </w:rPr>
      </w:pPr>
    </w:p>
    <w:p>
      <w:pPr>
        <w:pStyle w:val="70"/>
        <w:ind w:firstLine="0" w:firstLineChars="0"/>
        <w:jc w:val="left"/>
        <w:rPr>
          <w:rFonts w:eastAsia="宋体"/>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PAGE   \* MERGEFORMAT</w:instrText>
    </w:r>
    <w:r>
      <w:fldChar w:fldCharType="separate"/>
    </w:r>
    <w:r>
      <w:rPr>
        <w:lang w:val="zh-CN"/>
      </w:rPr>
      <w:t>15</w:t>
    </w:r>
    <w:r>
      <w:fldChar w:fldCharType="end"/>
    </w:r>
  </w:p>
  <w:p>
    <w:pPr>
      <w:pStyle w:val="2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ADE0FA"/>
    <w:multiLevelType w:val="singleLevel"/>
    <w:tmpl w:val="34ADE0FA"/>
    <w:lvl w:ilvl="0" w:tentative="0">
      <w:start w:val="1"/>
      <w:numFmt w:val="decimal"/>
      <w:suff w:val="nothing"/>
      <w:lvlText w:val="（%1）"/>
      <w:lvlJc w:val="left"/>
    </w:lvl>
  </w:abstractNum>
  <w:abstractNum w:abstractNumId="1">
    <w:nsid w:val="4380BE58"/>
    <w:multiLevelType w:val="singleLevel"/>
    <w:tmpl w:val="4380BE58"/>
    <w:lvl w:ilvl="0" w:tentative="0">
      <w:start w:val="1"/>
      <w:numFmt w:val="bullet"/>
      <w:pStyle w:val="21"/>
      <w:lvlText w:val=""/>
      <w:lvlJc w:val="left"/>
      <w:pPr>
        <w:tabs>
          <w:tab w:val="left" w:pos="780"/>
        </w:tabs>
        <w:ind w:left="7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TBiMmFiMmIyMWVjMWNiYjMzMDdkOWIzYmEwYWVkYmYifQ=="/>
  </w:docVars>
  <w:rsids>
    <w:rsidRoot w:val="755A3C18"/>
    <w:rsid w:val="00041BD6"/>
    <w:rsid w:val="00054F73"/>
    <w:rsid w:val="00084C5D"/>
    <w:rsid w:val="00092854"/>
    <w:rsid w:val="000B0F45"/>
    <w:rsid w:val="000C02E5"/>
    <w:rsid w:val="000D047A"/>
    <w:rsid w:val="000F658F"/>
    <w:rsid w:val="00123194"/>
    <w:rsid w:val="00164758"/>
    <w:rsid w:val="00171BD9"/>
    <w:rsid w:val="00174965"/>
    <w:rsid w:val="00181D5E"/>
    <w:rsid w:val="001930CD"/>
    <w:rsid w:val="001A23A5"/>
    <w:rsid w:val="001B2ACD"/>
    <w:rsid w:val="001B7237"/>
    <w:rsid w:val="001E196A"/>
    <w:rsid w:val="001E5755"/>
    <w:rsid w:val="001F68B3"/>
    <w:rsid w:val="00201CB1"/>
    <w:rsid w:val="00204F1A"/>
    <w:rsid w:val="00206636"/>
    <w:rsid w:val="00214723"/>
    <w:rsid w:val="0027594C"/>
    <w:rsid w:val="0029533E"/>
    <w:rsid w:val="002A2838"/>
    <w:rsid w:val="002B11AC"/>
    <w:rsid w:val="002C48FC"/>
    <w:rsid w:val="002D7DDD"/>
    <w:rsid w:val="002F4E3C"/>
    <w:rsid w:val="00301109"/>
    <w:rsid w:val="00333F44"/>
    <w:rsid w:val="003348E8"/>
    <w:rsid w:val="00362778"/>
    <w:rsid w:val="0038621F"/>
    <w:rsid w:val="003B7274"/>
    <w:rsid w:val="003D26D1"/>
    <w:rsid w:val="003E0BD4"/>
    <w:rsid w:val="003E6A0B"/>
    <w:rsid w:val="004231A1"/>
    <w:rsid w:val="00442E1B"/>
    <w:rsid w:val="004842DF"/>
    <w:rsid w:val="00496A3C"/>
    <w:rsid w:val="004E0C02"/>
    <w:rsid w:val="00516B77"/>
    <w:rsid w:val="0054739E"/>
    <w:rsid w:val="0058416B"/>
    <w:rsid w:val="00590598"/>
    <w:rsid w:val="0059551B"/>
    <w:rsid w:val="00597D4C"/>
    <w:rsid w:val="005A0425"/>
    <w:rsid w:val="005B28C9"/>
    <w:rsid w:val="005C4F57"/>
    <w:rsid w:val="005C60C9"/>
    <w:rsid w:val="006076C8"/>
    <w:rsid w:val="0063499C"/>
    <w:rsid w:val="006458C1"/>
    <w:rsid w:val="006834D9"/>
    <w:rsid w:val="00684A03"/>
    <w:rsid w:val="00697DF8"/>
    <w:rsid w:val="006C7FC2"/>
    <w:rsid w:val="00701F5C"/>
    <w:rsid w:val="00705280"/>
    <w:rsid w:val="0072139E"/>
    <w:rsid w:val="00777E4A"/>
    <w:rsid w:val="007919CE"/>
    <w:rsid w:val="0079270F"/>
    <w:rsid w:val="00796143"/>
    <w:rsid w:val="0079653D"/>
    <w:rsid w:val="007C00AB"/>
    <w:rsid w:val="007C265D"/>
    <w:rsid w:val="007D52B9"/>
    <w:rsid w:val="007E4F6B"/>
    <w:rsid w:val="008063DD"/>
    <w:rsid w:val="0081197A"/>
    <w:rsid w:val="0081615B"/>
    <w:rsid w:val="00852632"/>
    <w:rsid w:val="00865F9A"/>
    <w:rsid w:val="008815BA"/>
    <w:rsid w:val="00882462"/>
    <w:rsid w:val="008A0DEF"/>
    <w:rsid w:val="008A6A6C"/>
    <w:rsid w:val="008D4B3F"/>
    <w:rsid w:val="0091329D"/>
    <w:rsid w:val="009510C0"/>
    <w:rsid w:val="0097145B"/>
    <w:rsid w:val="00973101"/>
    <w:rsid w:val="009767F8"/>
    <w:rsid w:val="009A10BF"/>
    <w:rsid w:val="009B4C8B"/>
    <w:rsid w:val="009E03F0"/>
    <w:rsid w:val="009E22A9"/>
    <w:rsid w:val="009E6C1C"/>
    <w:rsid w:val="00A01B21"/>
    <w:rsid w:val="00A01FF0"/>
    <w:rsid w:val="00A1270A"/>
    <w:rsid w:val="00A61109"/>
    <w:rsid w:val="00A7499C"/>
    <w:rsid w:val="00AA087D"/>
    <w:rsid w:val="00AA45C2"/>
    <w:rsid w:val="00AA63FA"/>
    <w:rsid w:val="00AC17BD"/>
    <w:rsid w:val="00AD4AB1"/>
    <w:rsid w:val="00B23468"/>
    <w:rsid w:val="00B2638A"/>
    <w:rsid w:val="00B404D1"/>
    <w:rsid w:val="00B47B27"/>
    <w:rsid w:val="00B5446D"/>
    <w:rsid w:val="00B6138E"/>
    <w:rsid w:val="00B72F37"/>
    <w:rsid w:val="00BA4CF1"/>
    <w:rsid w:val="00BB1DCC"/>
    <w:rsid w:val="00BB28AE"/>
    <w:rsid w:val="00BB293B"/>
    <w:rsid w:val="00C00D7A"/>
    <w:rsid w:val="00C16050"/>
    <w:rsid w:val="00C339F6"/>
    <w:rsid w:val="00C45C3B"/>
    <w:rsid w:val="00C535A8"/>
    <w:rsid w:val="00C56B49"/>
    <w:rsid w:val="00C57185"/>
    <w:rsid w:val="00C70486"/>
    <w:rsid w:val="00C95CB7"/>
    <w:rsid w:val="00CA474D"/>
    <w:rsid w:val="00CE7FFD"/>
    <w:rsid w:val="00CF5401"/>
    <w:rsid w:val="00D04CD3"/>
    <w:rsid w:val="00D06F5D"/>
    <w:rsid w:val="00D10CFB"/>
    <w:rsid w:val="00D44968"/>
    <w:rsid w:val="00D5436F"/>
    <w:rsid w:val="00D93488"/>
    <w:rsid w:val="00DC2692"/>
    <w:rsid w:val="00DE7CB2"/>
    <w:rsid w:val="00DF4123"/>
    <w:rsid w:val="00DF66B6"/>
    <w:rsid w:val="00E21AFE"/>
    <w:rsid w:val="00E50BF7"/>
    <w:rsid w:val="00E515DC"/>
    <w:rsid w:val="00E5589E"/>
    <w:rsid w:val="00E65565"/>
    <w:rsid w:val="00EA14D4"/>
    <w:rsid w:val="00ED4B8D"/>
    <w:rsid w:val="00EF0754"/>
    <w:rsid w:val="00EF1F11"/>
    <w:rsid w:val="00F001AC"/>
    <w:rsid w:val="00F0250A"/>
    <w:rsid w:val="00F1003F"/>
    <w:rsid w:val="00F21D62"/>
    <w:rsid w:val="00F27D34"/>
    <w:rsid w:val="00F30E43"/>
    <w:rsid w:val="00F62C45"/>
    <w:rsid w:val="00F6423C"/>
    <w:rsid w:val="00F7698D"/>
    <w:rsid w:val="00F90E21"/>
    <w:rsid w:val="00FA620C"/>
    <w:rsid w:val="00FB0BCB"/>
    <w:rsid w:val="00FB3C26"/>
    <w:rsid w:val="00FC6BD3"/>
    <w:rsid w:val="00FE1E66"/>
    <w:rsid w:val="00FE6289"/>
    <w:rsid w:val="00FE78BD"/>
    <w:rsid w:val="00FF2AA5"/>
    <w:rsid w:val="0115130B"/>
    <w:rsid w:val="013B0DE8"/>
    <w:rsid w:val="01B71398"/>
    <w:rsid w:val="021F5287"/>
    <w:rsid w:val="03A10F0F"/>
    <w:rsid w:val="04E436D4"/>
    <w:rsid w:val="05AD7274"/>
    <w:rsid w:val="05F102EF"/>
    <w:rsid w:val="06A84B1D"/>
    <w:rsid w:val="0A2A1A50"/>
    <w:rsid w:val="0A8266DE"/>
    <w:rsid w:val="0CB437FC"/>
    <w:rsid w:val="0ECB4B89"/>
    <w:rsid w:val="0FA7589A"/>
    <w:rsid w:val="10977333"/>
    <w:rsid w:val="130258C3"/>
    <w:rsid w:val="15E1169F"/>
    <w:rsid w:val="15F43E97"/>
    <w:rsid w:val="167A1613"/>
    <w:rsid w:val="174D4F79"/>
    <w:rsid w:val="18044FFF"/>
    <w:rsid w:val="18A9217F"/>
    <w:rsid w:val="1A6C0F32"/>
    <w:rsid w:val="1AAC69E8"/>
    <w:rsid w:val="1AFB754E"/>
    <w:rsid w:val="1B75684C"/>
    <w:rsid w:val="1BA021D3"/>
    <w:rsid w:val="21061788"/>
    <w:rsid w:val="21B3334B"/>
    <w:rsid w:val="22031056"/>
    <w:rsid w:val="233864D3"/>
    <w:rsid w:val="23F9323F"/>
    <w:rsid w:val="23FC7063"/>
    <w:rsid w:val="259D0978"/>
    <w:rsid w:val="25D31964"/>
    <w:rsid w:val="269C55D5"/>
    <w:rsid w:val="26B942E1"/>
    <w:rsid w:val="278914D5"/>
    <w:rsid w:val="2B0E79F6"/>
    <w:rsid w:val="2C340BB5"/>
    <w:rsid w:val="2D3A1AFE"/>
    <w:rsid w:val="2D84048C"/>
    <w:rsid w:val="2DC45B3D"/>
    <w:rsid w:val="2DE75962"/>
    <w:rsid w:val="2ECD6E75"/>
    <w:rsid w:val="2F430233"/>
    <w:rsid w:val="30087837"/>
    <w:rsid w:val="300C3FD9"/>
    <w:rsid w:val="30C33312"/>
    <w:rsid w:val="319E4942"/>
    <w:rsid w:val="32E12CEE"/>
    <w:rsid w:val="334E7DB9"/>
    <w:rsid w:val="33582884"/>
    <w:rsid w:val="340824FC"/>
    <w:rsid w:val="354566EB"/>
    <w:rsid w:val="35B447E8"/>
    <w:rsid w:val="367C07E1"/>
    <w:rsid w:val="36C55886"/>
    <w:rsid w:val="36D60AE4"/>
    <w:rsid w:val="36E556DA"/>
    <w:rsid w:val="37E578E9"/>
    <w:rsid w:val="3C8F7B8C"/>
    <w:rsid w:val="3D2F1B81"/>
    <w:rsid w:val="3EC85481"/>
    <w:rsid w:val="3F052541"/>
    <w:rsid w:val="3FB4343F"/>
    <w:rsid w:val="41A25D3E"/>
    <w:rsid w:val="42946FE2"/>
    <w:rsid w:val="435766B4"/>
    <w:rsid w:val="44F13C87"/>
    <w:rsid w:val="464D3067"/>
    <w:rsid w:val="48FE3445"/>
    <w:rsid w:val="49BC3A68"/>
    <w:rsid w:val="4B0F2CE4"/>
    <w:rsid w:val="4B377AC2"/>
    <w:rsid w:val="4BFF4E54"/>
    <w:rsid w:val="4C2C4B82"/>
    <w:rsid w:val="4CC36B68"/>
    <w:rsid w:val="4D5C7917"/>
    <w:rsid w:val="4DAD2F1B"/>
    <w:rsid w:val="4E1D16FF"/>
    <w:rsid w:val="4F34318E"/>
    <w:rsid w:val="4F815087"/>
    <w:rsid w:val="4FD86DCF"/>
    <w:rsid w:val="505C25A6"/>
    <w:rsid w:val="50687EB6"/>
    <w:rsid w:val="53D6033A"/>
    <w:rsid w:val="56252405"/>
    <w:rsid w:val="57854480"/>
    <w:rsid w:val="59F92B72"/>
    <w:rsid w:val="5B10088E"/>
    <w:rsid w:val="5B526448"/>
    <w:rsid w:val="5B8D6265"/>
    <w:rsid w:val="5C400754"/>
    <w:rsid w:val="5CF01ECA"/>
    <w:rsid w:val="5E286E51"/>
    <w:rsid w:val="5F7743F5"/>
    <w:rsid w:val="5F7F34EB"/>
    <w:rsid w:val="5FD546F3"/>
    <w:rsid w:val="60234096"/>
    <w:rsid w:val="610C0686"/>
    <w:rsid w:val="617759B2"/>
    <w:rsid w:val="67747705"/>
    <w:rsid w:val="6F5C1D54"/>
    <w:rsid w:val="704A05E7"/>
    <w:rsid w:val="7149511B"/>
    <w:rsid w:val="72D40CB6"/>
    <w:rsid w:val="72F51694"/>
    <w:rsid w:val="733C304D"/>
    <w:rsid w:val="73753AEC"/>
    <w:rsid w:val="755A3C18"/>
    <w:rsid w:val="760D36EA"/>
    <w:rsid w:val="76840332"/>
    <w:rsid w:val="7B012D25"/>
    <w:rsid w:val="7C2C1819"/>
    <w:rsid w:val="7C9E6D58"/>
    <w:rsid w:val="7D721714"/>
    <w:rsid w:val="7DE54904"/>
    <w:rsid w:val="7EF574EF"/>
    <w:rsid w:val="7F5E7AEE"/>
    <w:rsid w:val="7FB43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13">
    <w:name w:val="heading 1"/>
    <w:basedOn w:val="1"/>
    <w:next w:val="1"/>
    <w:qFormat/>
    <w:uiPriority w:val="0"/>
    <w:pPr>
      <w:keepNext/>
      <w:keepLines/>
      <w:spacing w:before="240" w:after="240"/>
      <w:jc w:val="center"/>
      <w:outlineLvl w:val="0"/>
    </w:pPr>
    <w:rPr>
      <w:b/>
      <w:kern w:val="44"/>
      <w:sz w:val="44"/>
    </w:rPr>
  </w:style>
  <w:style w:type="paragraph" w:styleId="14">
    <w:name w:val="heading 2"/>
    <w:basedOn w:val="1"/>
    <w:next w:val="1"/>
    <w:qFormat/>
    <w:uiPriority w:val="0"/>
    <w:pPr>
      <w:keepNext/>
      <w:keepLines/>
      <w:spacing w:before="120" w:after="120"/>
      <w:outlineLvl w:val="1"/>
    </w:pPr>
    <w:rPr>
      <w:rFonts w:ascii="Times New Roman" w:hAnsi="Times New Roman"/>
      <w:b/>
      <w:sz w:val="32"/>
    </w:rPr>
  </w:style>
  <w:style w:type="paragraph" w:styleId="15">
    <w:name w:val="heading 3"/>
    <w:basedOn w:val="1"/>
    <w:next w:val="1"/>
    <w:qFormat/>
    <w:uiPriority w:val="0"/>
    <w:pPr>
      <w:keepNext/>
      <w:keepLines/>
      <w:spacing w:before="120" w:after="120"/>
      <w:outlineLvl w:val="2"/>
    </w:pPr>
    <w:rPr>
      <w:rFonts w:ascii="Times New Roman" w:hAnsi="Times New Roman"/>
      <w:b/>
      <w:sz w:val="30"/>
    </w:rPr>
  </w:style>
  <w:style w:type="paragraph" w:styleId="9">
    <w:name w:val="heading 4"/>
    <w:basedOn w:val="1"/>
    <w:next w:val="10"/>
    <w:qFormat/>
    <w:uiPriority w:val="0"/>
    <w:pPr>
      <w:keepNext/>
      <w:keepLines/>
      <w:spacing w:before="280" w:after="290" w:line="372" w:lineRule="auto"/>
      <w:outlineLvl w:val="3"/>
    </w:pPr>
    <w:rPr>
      <w:rFonts w:ascii="Arial" w:hAnsi="Arial" w:eastAsia="黑体"/>
      <w:b/>
      <w:sz w:val="28"/>
    </w:rPr>
  </w:style>
  <w:style w:type="paragraph" w:styleId="16">
    <w:name w:val="heading 5"/>
    <w:basedOn w:val="1"/>
    <w:next w:val="1"/>
    <w:qFormat/>
    <w:uiPriority w:val="0"/>
    <w:pPr>
      <w:keepNext/>
      <w:keepLines/>
      <w:spacing w:before="280" w:after="290" w:line="372" w:lineRule="auto"/>
      <w:outlineLvl w:val="4"/>
    </w:pPr>
    <w:rPr>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color w:val="000000"/>
      <w:sz w:val="24"/>
      <w:szCs w:val="24"/>
    </w:rPr>
  </w:style>
  <w:style w:type="paragraph" w:customStyle="1" w:styleId="3">
    <w:name w:val="纯文本1"/>
    <w:basedOn w:val="1"/>
    <w:semiHidden/>
    <w:qFormat/>
    <w:uiPriority w:val="0"/>
    <w:pPr>
      <w:adjustRightInd w:val="0"/>
      <w:textAlignment w:val="baseline"/>
    </w:pPr>
    <w:rPr>
      <w:rFonts w:ascii="宋体" w:hAnsi="Courier New"/>
      <w:szCs w:val="20"/>
    </w:rPr>
  </w:style>
  <w:style w:type="paragraph" w:customStyle="1" w:styleId="4">
    <w:name w:val="样式35"/>
    <w:basedOn w:val="5"/>
    <w:next w:val="11"/>
    <w:qFormat/>
    <w:uiPriority w:val="0"/>
    <w:pPr>
      <w:widowControl w:val="0"/>
      <w:tabs>
        <w:tab w:val="left" w:pos="1247"/>
        <w:tab w:val="left" w:pos="1589"/>
      </w:tabs>
      <w:spacing w:line="312" w:lineRule="auto"/>
      <w:ind w:firstLine="567"/>
      <w:jc w:val="both"/>
    </w:pPr>
    <w:rPr>
      <w:rFonts w:ascii="宋体" w:hAnsi="Times New Roman" w:cs="Times New Roman"/>
      <w:kern w:val="2"/>
      <w:sz w:val="21"/>
      <w:szCs w:val="22"/>
    </w:rPr>
  </w:style>
  <w:style w:type="paragraph" w:customStyle="1" w:styleId="5">
    <w:name w:val="样式26"/>
    <w:basedOn w:val="6"/>
    <w:qFormat/>
    <w:uiPriority w:val="0"/>
    <w:pPr>
      <w:pBdr>
        <w:bottom w:val="single" w:color="808080" w:sz="24" w:space="1"/>
      </w:pBdr>
      <w:tabs>
        <w:tab w:val="left" w:pos="1247"/>
        <w:tab w:val="left" w:pos="1589"/>
      </w:tabs>
    </w:pPr>
    <w:rPr>
      <w:sz w:val="18"/>
    </w:rPr>
  </w:style>
  <w:style w:type="paragraph" w:customStyle="1" w:styleId="6">
    <w:name w:val="样式21"/>
    <w:basedOn w:val="7"/>
    <w:qFormat/>
    <w:uiPriority w:val="0"/>
    <w:pPr>
      <w:widowControl/>
      <w:tabs>
        <w:tab w:val="left" w:pos="1247"/>
        <w:tab w:val="left" w:pos="1589"/>
      </w:tabs>
      <w:spacing w:before="80" w:after="80" w:line="360" w:lineRule="auto"/>
      <w:ind w:left="0" w:firstLine="0"/>
    </w:pPr>
    <w:rPr>
      <w:rFonts w:ascii="Arial" w:eastAsia="宋体" w:cs="宋体"/>
      <w:b/>
      <w:bCs/>
    </w:rPr>
  </w:style>
  <w:style w:type="paragraph" w:customStyle="1" w:styleId="7">
    <w:name w:val="样式5"/>
    <w:basedOn w:val="8"/>
    <w:qFormat/>
    <w:uiPriority w:val="0"/>
    <w:pPr>
      <w:tabs>
        <w:tab w:val="left" w:pos="1247"/>
        <w:tab w:val="left" w:pos="1589"/>
      </w:tabs>
      <w:spacing w:before="156" w:beforeLines="50" w:after="60"/>
      <w:ind w:left="1589" w:hanging="1021"/>
      <w:jc w:val="left"/>
    </w:pPr>
    <w:rPr>
      <w:rFonts w:ascii="仿宋_GB2312" w:hAnsi="等线" w:eastAsia="仿宋_GB2312"/>
      <w:color w:val="FF0000"/>
      <w:kern w:val="0"/>
    </w:rPr>
  </w:style>
  <w:style w:type="paragraph" w:customStyle="1" w:styleId="8">
    <w:name w:val="样式12"/>
    <w:basedOn w:val="9"/>
    <w:qFormat/>
    <w:uiPriority w:val="0"/>
    <w:pPr>
      <w:tabs>
        <w:tab w:val="left" w:pos="1247"/>
      </w:tabs>
      <w:snapToGrid w:val="0"/>
      <w:spacing w:line="312" w:lineRule="auto"/>
      <w:ind w:left="1134" w:hanging="1134"/>
    </w:pPr>
    <w:rPr>
      <w:rFonts w:ascii="Times New Roman" w:hAnsi="宋体" w:eastAsia="宋体"/>
      <w:b w:val="0"/>
    </w:rPr>
  </w:style>
  <w:style w:type="paragraph" w:customStyle="1" w:styleId="10">
    <w:name w:val="表文字52"/>
    <w:basedOn w:val="1"/>
    <w:qFormat/>
    <w:uiPriority w:val="0"/>
    <w:pPr>
      <w:adjustRightInd w:val="0"/>
    </w:pPr>
    <w:rPr>
      <w:szCs w:val="20"/>
    </w:rPr>
  </w:style>
  <w:style w:type="paragraph" w:customStyle="1" w:styleId="11">
    <w:name w:val="font6"/>
    <w:next w:val="12"/>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styleId="12">
    <w:name w:val="toc 2"/>
    <w:basedOn w:val="1"/>
    <w:next w:val="1"/>
    <w:qFormat/>
    <w:uiPriority w:val="39"/>
    <w:pPr>
      <w:tabs>
        <w:tab w:val="right" w:leader="dot" w:pos="9060"/>
      </w:tabs>
    </w:pPr>
  </w:style>
  <w:style w:type="paragraph" w:styleId="17">
    <w:name w:val="E-mail Signature"/>
    <w:basedOn w:val="1"/>
    <w:next w:val="18"/>
    <w:unhideWhenUsed/>
    <w:qFormat/>
    <w:uiPriority w:val="99"/>
    <w:pPr>
      <w:spacing w:line="460" w:lineRule="exact"/>
      <w:ind w:firstLine="200" w:firstLineChars="200"/>
    </w:pPr>
    <w:rPr>
      <w:rFonts w:hint="eastAsia" w:ascii="Times New Roman" w:hAnsi="Times New Roman"/>
      <w:sz w:val="24"/>
      <w:szCs w:val="20"/>
    </w:rPr>
  </w:style>
  <w:style w:type="paragraph" w:customStyle="1" w:styleId="18">
    <w:name w:val="文章"/>
    <w:basedOn w:val="19"/>
    <w:next w:val="20"/>
    <w:qFormat/>
    <w:uiPriority w:val="0"/>
    <w:pPr>
      <w:ind w:firstLine="480"/>
      <w:jc w:val="center"/>
    </w:pPr>
    <w:rPr>
      <w:rFonts w:ascii="Times New Roman" w:hAnsi="Times New Roman" w:eastAsia="宋体"/>
      <w:kern w:val="2"/>
      <w:sz w:val="26"/>
      <w:szCs w:val="22"/>
    </w:rPr>
  </w:style>
  <w:style w:type="paragraph" w:styleId="19">
    <w:name w:val="Body Text Indent"/>
    <w:basedOn w:val="1"/>
    <w:qFormat/>
    <w:uiPriority w:val="0"/>
    <w:pPr>
      <w:spacing w:line="500" w:lineRule="atLeast"/>
      <w:ind w:firstLine="567"/>
    </w:pPr>
    <w:rPr>
      <w:rFonts w:ascii="黑体" w:hAnsi="黑体" w:eastAsia="黑体"/>
      <w:spacing w:val="10"/>
      <w:kern w:val="0"/>
      <w:sz w:val="28"/>
      <w:szCs w:val="20"/>
    </w:rPr>
  </w:style>
  <w:style w:type="paragraph" w:styleId="20">
    <w:name w:val="List"/>
    <w:basedOn w:val="1"/>
    <w:next w:val="21"/>
    <w:qFormat/>
    <w:uiPriority w:val="0"/>
    <w:pPr>
      <w:ind w:left="200" w:hanging="200" w:hangingChars="200"/>
    </w:pPr>
  </w:style>
  <w:style w:type="paragraph" w:styleId="21">
    <w:name w:val="List Bullet 2"/>
    <w:basedOn w:val="1"/>
    <w:next w:val="22"/>
    <w:qFormat/>
    <w:uiPriority w:val="0"/>
    <w:pPr>
      <w:numPr>
        <w:ilvl w:val="0"/>
        <w:numId w:val="1"/>
      </w:numPr>
    </w:pPr>
  </w:style>
  <w:style w:type="paragraph" w:customStyle="1" w:styleId="22">
    <w:name w:val="xl70"/>
    <w:basedOn w:val="1"/>
    <w:next w:val="23"/>
    <w:qFormat/>
    <w:uiPriority w:val="0"/>
    <w:pPr>
      <w:widowControl/>
      <w:spacing w:before="280" w:after="280"/>
    </w:pPr>
    <w:rPr>
      <w:rFonts w:ascii="宋体"/>
      <w:sz w:val="24"/>
    </w:rPr>
  </w:style>
  <w:style w:type="paragraph" w:customStyle="1" w:styleId="23">
    <w:name w:val="正文缩进1"/>
    <w:basedOn w:val="1"/>
    <w:next w:val="24"/>
    <w:qFormat/>
    <w:uiPriority w:val="0"/>
    <w:pPr>
      <w:spacing w:line="360" w:lineRule="auto"/>
      <w:ind w:firstLine="420"/>
    </w:pPr>
    <w:rPr>
      <w:rFonts w:ascii="宋体"/>
    </w:rPr>
  </w:style>
  <w:style w:type="paragraph" w:customStyle="1" w:styleId="24">
    <w:name w:val="td1"/>
    <w:basedOn w:val="1"/>
    <w:next w:val="1"/>
    <w:qFormat/>
    <w:uiPriority w:val="0"/>
    <w:pPr>
      <w:widowControl/>
      <w:spacing w:before="280" w:after="280" w:line="300" w:lineRule="atLeast"/>
      <w:ind w:firstLine="200"/>
    </w:pPr>
    <w:rPr>
      <w:color w:val="000000"/>
      <w:sz w:val="18"/>
    </w:rPr>
  </w:style>
  <w:style w:type="paragraph" w:styleId="25">
    <w:name w:val="Normal Indent"/>
    <w:basedOn w:val="1"/>
    <w:qFormat/>
    <w:uiPriority w:val="0"/>
    <w:pPr>
      <w:ind w:firstLine="420" w:firstLineChars="200"/>
    </w:pPr>
  </w:style>
  <w:style w:type="paragraph" w:styleId="26">
    <w:name w:val="annotation text"/>
    <w:basedOn w:val="1"/>
    <w:link w:val="61"/>
    <w:semiHidden/>
    <w:qFormat/>
    <w:uiPriority w:val="0"/>
    <w:pPr>
      <w:adjustRightInd w:val="0"/>
      <w:spacing w:line="360" w:lineRule="atLeast"/>
      <w:jc w:val="left"/>
      <w:textAlignment w:val="baseline"/>
    </w:pPr>
    <w:rPr>
      <w:kern w:val="0"/>
    </w:rPr>
  </w:style>
  <w:style w:type="paragraph" w:styleId="27">
    <w:name w:val="toc 3"/>
    <w:basedOn w:val="1"/>
    <w:next w:val="1"/>
    <w:qFormat/>
    <w:uiPriority w:val="39"/>
    <w:pPr>
      <w:ind w:left="840" w:leftChars="400"/>
    </w:pPr>
  </w:style>
  <w:style w:type="paragraph" w:styleId="28">
    <w:name w:val="Balloon Text"/>
    <w:basedOn w:val="1"/>
    <w:link w:val="67"/>
    <w:qFormat/>
    <w:uiPriority w:val="0"/>
    <w:rPr>
      <w:sz w:val="18"/>
      <w:szCs w:val="18"/>
    </w:rPr>
  </w:style>
  <w:style w:type="paragraph" w:styleId="29">
    <w:name w:val="footer"/>
    <w:basedOn w:val="1"/>
    <w:link w:val="74"/>
    <w:qFormat/>
    <w:uiPriority w:val="99"/>
    <w:pPr>
      <w:tabs>
        <w:tab w:val="center" w:pos="4153"/>
        <w:tab w:val="right" w:pos="8306"/>
      </w:tabs>
      <w:snapToGrid w:val="0"/>
      <w:jc w:val="left"/>
    </w:pPr>
    <w:rPr>
      <w:sz w:val="18"/>
    </w:rPr>
  </w:style>
  <w:style w:type="paragraph" w:styleId="3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1">
    <w:name w:val="toc 1"/>
    <w:basedOn w:val="1"/>
    <w:next w:val="1"/>
    <w:qFormat/>
    <w:uiPriority w:val="39"/>
    <w:pPr>
      <w:adjustRightInd w:val="0"/>
      <w:spacing w:line="360" w:lineRule="auto"/>
      <w:ind w:right="100" w:rightChars="100"/>
    </w:pPr>
  </w:style>
  <w:style w:type="paragraph" w:styleId="32">
    <w:name w:val="Body Text 2"/>
    <w:basedOn w:val="1"/>
    <w:qFormat/>
    <w:uiPriority w:val="0"/>
    <w:pPr>
      <w:spacing w:after="120" w:line="480" w:lineRule="auto"/>
    </w:pPr>
  </w:style>
  <w:style w:type="paragraph" w:styleId="33">
    <w:name w:val="Normal (Web)"/>
    <w:basedOn w:val="1"/>
    <w:qFormat/>
    <w:uiPriority w:val="0"/>
    <w:pPr>
      <w:spacing w:beforeAutospacing="1" w:afterAutospacing="1"/>
      <w:jc w:val="left"/>
    </w:pPr>
    <w:rPr>
      <w:kern w:val="0"/>
      <w:sz w:val="24"/>
    </w:rPr>
  </w:style>
  <w:style w:type="paragraph" w:styleId="34">
    <w:name w:val="annotation subject"/>
    <w:basedOn w:val="26"/>
    <w:next w:val="26"/>
    <w:link w:val="66"/>
    <w:qFormat/>
    <w:uiPriority w:val="0"/>
    <w:pPr>
      <w:adjustRightInd/>
      <w:spacing w:line="240" w:lineRule="auto"/>
      <w:textAlignment w:val="auto"/>
    </w:pPr>
    <w:rPr>
      <w:b/>
      <w:bCs/>
      <w:kern w:val="2"/>
    </w:rPr>
  </w:style>
  <w:style w:type="table" w:styleId="36">
    <w:name w:val="Table Grid"/>
    <w:basedOn w:val="3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rPr>
  </w:style>
  <w:style w:type="character" w:styleId="39">
    <w:name w:val="Hyperlink"/>
    <w:unhideWhenUsed/>
    <w:qFormat/>
    <w:uiPriority w:val="99"/>
    <w:rPr>
      <w:color w:val="0563C1"/>
      <w:u w:val="single"/>
    </w:rPr>
  </w:style>
  <w:style w:type="character" w:styleId="40">
    <w:name w:val="annotation reference"/>
    <w:qFormat/>
    <w:uiPriority w:val="0"/>
    <w:rPr>
      <w:sz w:val="21"/>
      <w:szCs w:val="21"/>
    </w:rPr>
  </w:style>
  <w:style w:type="paragraph" w:customStyle="1" w:styleId="41">
    <w:name w:val="HJ-正文"/>
    <w:basedOn w:val="42"/>
    <w:qFormat/>
    <w:uiPriority w:val="0"/>
    <w:pPr>
      <w:adjustRightInd/>
      <w:snapToGrid/>
      <w:spacing w:before="50" w:beforeLines="50" w:after="50" w:afterLines="50"/>
    </w:pPr>
    <w:rPr>
      <w:rFonts w:ascii="Times New Roman"/>
    </w:rPr>
  </w:style>
  <w:style w:type="paragraph" w:customStyle="1" w:styleId="42">
    <w:name w:val="报告正文"/>
    <w:basedOn w:val="1"/>
    <w:semiHidden/>
    <w:qFormat/>
    <w:uiPriority w:val="0"/>
    <w:pPr>
      <w:adjustRightInd w:val="0"/>
      <w:snapToGrid w:val="0"/>
      <w:spacing w:line="360" w:lineRule="auto"/>
      <w:ind w:firstLine="200" w:firstLineChars="200"/>
    </w:pPr>
    <w:rPr>
      <w:rFonts w:ascii="宋体"/>
      <w:sz w:val="24"/>
      <w:szCs w:val="20"/>
    </w:rPr>
  </w:style>
  <w:style w:type="paragraph" w:customStyle="1" w:styleId="43">
    <w:name w:val="表格1"/>
    <w:basedOn w:val="1"/>
    <w:qFormat/>
    <w:uiPriority w:val="0"/>
    <w:pPr>
      <w:adjustRightInd w:val="0"/>
      <w:snapToGrid w:val="0"/>
      <w:spacing w:before="78" w:beforeLines="25" w:after="78" w:afterLines="25"/>
      <w:ind w:left="-30" w:leftChars="-30" w:right="-30" w:rightChars="-30"/>
      <w:jc w:val="center"/>
      <w:textAlignment w:val="baseline"/>
    </w:pPr>
    <w:rPr>
      <w:rFonts w:ascii="宋体"/>
      <w:snapToGrid w:val="0"/>
      <w:color w:val="000000"/>
      <w:kern w:val="0"/>
      <w:szCs w:val="9"/>
    </w:rPr>
  </w:style>
  <w:style w:type="paragraph" w:customStyle="1" w:styleId="44">
    <w:name w:val="表格文"/>
    <w:qFormat/>
    <w:uiPriority w:val="0"/>
    <w:pPr>
      <w:adjustRightInd w:val="0"/>
      <w:snapToGrid w:val="0"/>
      <w:spacing w:before="120" w:after="120" w:line="276" w:lineRule="auto"/>
      <w:jc w:val="center"/>
    </w:pPr>
    <w:rPr>
      <w:rFonts w:ascii="Times New Roman" w:hAnsi="Times New Roman" w:eastAsia="宋体" w:cs="Times New Roman"/>
      <w:kern w:val="2"/>
      <w:sz w:val="21"/>
      <w:szCs w:val="21"/>
      <w:lang w:val="en-US" w:eastAsia="zh-CN" w:bidi="ar-SA"/>
    </w:rPr>
  </w:style>
  <w:style w:type="paragraph" w:customStyle="1" w:styleId="45">
    <w:name w:val="表中表格式"/>
    <w:qFormat/>
    <w:uiPriority w:val="0"/>
    <w:pPr>
      <w:spacing w:before="20" w:after="20"/>
      <w:jc w:val="center"/>
    </w:pPr>
    <w:rPr>
      <w:rFonts w:ascii="Times New Roman" w:hAnsi="Times New Roman" w:eastAsia="宋体" w:cs="Times New Roman"/>
      <w:kern w:val="2"/>
      <w:sz w:val="21"/>
      <w:szCs w:val="24"/>
      <w:lang w:val="en-US" w:eastAsia="zh-CN" w:bidi="ar-SA"/>
    </w:rPr>
  </w:style>
  <w:style w:type="paragraph" w:customStyle="1" w:styleId="46">
    <w:name w:val="Table caption|1"/>
    <w:basedOn w:val="1"/>
    <w:qFormat/>
    <w:uiPriority w:val="0"/>
    <w:pPr>
      <w:spacing w:after="40"/>
    </w:pPr>
    <w:rPr>
      <w:rFonts w:ascii="宋体" w:hAnsi="宋体" w:cs="宋体"/>
      <w:sz w:val="18"/>
      <w:szCs w:val="18"/>
      <w:lang w:val="zh-TW" w:eastAsia="zh-TW" w:bidi="zh-TW"/>
    </w:rPr>
  </w:style>
  <w:style w:type="paragraph" w:customStyle="1" w:styleId="47">
    <w:name w:val="文字"/>
    <w:basedOn w:val="1"/>
    <w:qFormat/>
    <w:uiPriority w:val="0"/>
    <w:pPr>
      <w:spacing w:after="120" w:afterLines="50" w:line="360" w:lineRule="auto"/>
      <w:ind w:firstLine="420"/>
    </w:pPr>
  </w:style>
  <w:style w:type="paragraph" w:customStyle="1" w:styleId="48">
    <w:name w:val="电镀正文"/>
    <w:basedOn w:val="25"/>
    <w:qFormat/>
    <w:uiPriority w:val="0"/>
    <w:pPr>
      <w:spacing w:line="400" w:lineRule="exact"/>
      <w:ind w:firstLine="200"/>
    </w:pPr>
    <w:rPr>
      <w:rFonts w:ascii="宋体" w:hAnsi="宋体"/>
    </w:rPr>
  </w:style>
  <w:style w:type="paragraph" w:customStyle="1" w:styleId="49">
    <w:name w:val="Other|1"/>
    <w:basedOn w:val="1"/>
    <w:qFormat/>
    <w:uiPriority w:val="0"/>
    <w:pPr>
      <w:jc w:val="center"/>
    </w:pPr>
    <w:rPr>
      <w:rFonts w:ascii="宋体" w:hAnsi="宋体" w:cs="宋体"/>
      <w:sz w:val="19"/>
      <w:szCs w:val="19"/>
      <w:lang w:val="zh-TW" w:eastAsia="zh-TW" w:bidi="zh-TW"/>
    </w:rPr>
  </w:style>
  <w:style w:type="paragraph" w:customStyle="1" w:styleId="50">
    <w:name w:val="三级标题"/>
    <w:basedOn w:val="41"/>
    <w:qFormat/>
    <w:uiPriority w:val="0"/>
    <w:pPr>
      <w:ind w:firstLine="0" w:firstLineChars="0"/>
      <w:jc w:val="left"/>
    </w:pPr>
    <w:rPr>
      <w:b/>
    </w:rPr>
  </w:style>
  <w:style w:type="paragraph" w:customStyle="1" w:styleId="5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2">
    <w:name w:val="WPSOffice手动目录 1"/>
    <w:qFormat/>
    <w:uiPriority w:val="0"/>
    <w:rPr>
      <w:rFonts w:ascii="Times New Roman" w:hAnsi="Times New Roman" w:eastAsia="宋体" w:cs="Times New Roman"/>
      <w:lang w:val="en-US" w:eastAsia="zh-CN" w:bidi="ar-SA"/>
    </w:rPr>
  </w:style>
  <w:style w:type="paragraph" w:customStyle="1" w:styleId="5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4">
    <w:name w:val="Table Paragraph"/>
    <w:basedOn w:val="1"/>
    <w:qFormat/>
    <w:uiPriority w:val="1"/>
    <w:rPr>
      <w:rFonts w:ascii="宋体" w:hAnsi="宋体" w:cs="宋体"/>
      <w:lang w:val="zh-CN" w:bidi="zh-CN"/>
    </w:rPr>
  </w:style>
  <w:style w:type="character" w:customStyle="1" w:styleId="55">
    <w:name w:val="font21"/>
    <w:qFormat/>
    <w:uiPriority w:val="0"/>
    <w:rPr>
      <w:rFonts w:hint="default" w:ascii="Times New Roman" w:hAnsi="Times New Roman" w:cs="Times New Roman"/>
      <w:color w:val="000000"/>
      <w:sz w:val="22"/>
      <w:szCs w:val="22"/>
      <w:u w:val="none"/>
    </w:rPr>
  </w:style>
  <w:style w:type="character" w:customStyle="1" w:styleId="56">
    <w:name w:val="font71"/>
    <w:qFormat/>
    <w:uiPriority w:val="0"/>
    <w:rPr>
      <w:rFonts w:hint="eastAsia" w:ascii="宋体" w:hAnsi="宋体" w:eastAsia="宋体" w:cs="宋体"/>
      <w:color w:val="000000"/>
      <w:sz w:val="22"/>
      <w:szCs w:val="22"/>
      <w:u w:val="none"/>
    </w:rPr>
  </w:style>
  <w:style w:type="character" w:customStyle="1" w:styleId="57">
    <w:name w:val="font41"/>
    <w:qFormat/>
    <w:uiPriority w:val="0"/>
    <w:rPr>
      <w:rFonts w:hint="default" w:ascii="Times New Roman" w:hAnsi="Times New Roman" w:cs="Times New Roman"/>
      <w:color w:val="000000"/>
      <w:sz w:val="22"/>
      <w:szCs w:val="22"/>
      <w:u w:val="none"/>
      <w:vertAlign w:val="superscript"/>
    </w:rPr>
  </w:style>
  <w:style w:type="character" w:customStyle="1" w:styleId="58">
    <w:name w:val="font11"/>
    <w:qFormat/>
    <w:uiPriority w:val="0"/>
    <w:rPr>
      <w:rFonts w:hint="default" w:ascii="Times New Roman" w:hAnsi="Times New Roman" w:cs="Times New Roman"/>
      <w:color w:val="000000"/>
      <w:sz w:val="22"/>
      <w:szCs w:val="22"/>
      <w:u w:val="none"/>
    </w:rPr>
  </w:style>
  <w:style w:type="character" w:customStyle="1" w:styleId="59">
    <w:name w:val="font51"/>
    <w:qFormat/>
    <w:uiPriority w:val="0"/>
    <w:rPr>
      <w:rFonts w:hint="default" w:ascii="Times New Roman" w:hAnsi="Times New Roman" w:cs="Times New Roman"/>
      <w:color w:val="000000"/>
      <w:sz w:val="22"/>
      <w:szCs w:val="22"/>
      <w:u w:val="none"/>
    </w:rPr>
  </w:style>
  <w:style w:type="character" w:customStyle="1" w:styleId="60">
    <w:name w:val="font61"/>
    <w:qFormat/>
    <w:uiPriority w:val="0"/>
    <w:rPr>
      <w:rFonts w:hint="default" w:ascii="Times New Roman" w:hAnsi="Times New Roman" w:cs="Times New Roman"/>
      <w:color w:val="000000"/>
      <w:sz w:val="22"/>
      <w:szCs w:val="22"/>
      <w:u w:val="none"/>
    </w:rPr>
  </w:style>
  <w:style w:type="character" w:customStyle="1" w:styleId="61">
    <w:name w:val="批注文字 Char"/>
    <w:link w:val="26"/>
    <w:semiHidden/>
    <w:qFormat/>
    <w:uiPriority w:val="0"/>
    <w:rPr>
      <w:rFonts w:ascii="Calibri" w:hAnsi="Calibri" w:eastAsia="宋体" w:cs="Times New Roman"/>
      <w:sz w:val="21"/>
      <w:szCs w:val="24"/>
    </w:rPr>
  </w:style>
  <w:style w:type="character" w:customStyle="1" w:styleId="62">
    <w:name w:val="font01"/>
    <w:qFormat/>
    <w:uiPriority w:val="0"/>
    <w:rPr>
      <w:rFonts w:hint="eastAsia" w:ascii="宋体" w:hAnsi="宋体" w:eastAsia="宋体" w:cs="宋体"/>
      <w:color w:val="000000"/>
      <w:sz w:val="22"/>
      <w:szCs w:val="22"/>
      <w:u w:val="none"/>
    </w:rPr>
  </w:style>
  <w:style w:type="character" w:customStyle="1" w:styleId="63">
    <w:name w:val="font91"/>
    <w:qFormat/>
    <w:uiPriority w:val="0"/>
    <w:rPr>
      <w:rFonts w:hint="default" w:ascii="Times New Roman" w:hAnsi="Times New Roman" w:cs="Times New Roman"/>
      <w:color w:val="000000"/>
      <w:sz w:val="19"/>
      <w:szCs w:val="19"/>
      <w:u w:val="none"/>
    </w:rPr>
  </w:style>
  <w:style w:type="character" w:customStyle="1" w:styleId="64">
    <w:name w:val="font31"/>
    <w:qFormat/>
    <w:uiPriority w:val="0"/>
    <w:rPr>
      <w:rFonts w:hint="eastAsia" w:ascii="宋体" w:hAnsi="宋体" w:eastAsia="宋体" w:cs="宋体"/>
      <w:color w:val="000000"/>
      <w:sz w:val="22"/>
      <w:szCs w:val="22"/>
      <w:u w:val="none"/>
    </w:rPr>
  </w:style>
  <w:style w:type="character" w:customStyle="1" w:styleId="65">
    <w:name w:val="font101"/>
    <w:qFormat/>
    <w:uiPriority w:val="0"/>
    <w:rPr>
      <w:rFonts w:hint="eastAsia" w:ascii="宋体" w:hAnsi="宋体" w:eastAsia="宋体" w:cs="宋体"/>
      <w:color w:val="000000"/>
      <w:sz w:val="19"/>
      <w:szCs w:val="19"/>
      <w:u w:val="none"/>
    </w:rPr>
  </w:style>
  <w:style w:type="character" w:customStyle="1" w:styleId="66">
    <w:name w:val="批注主题 Char"/>
    <w:link w:val="34"/>
    <w:qFormat/>
    <w:uiPriority w:val="0"/>
    <w:rPr>
      <w:rFonts w:ascii="Calibri" w:hAnsi="Calibri" w:eastAsia="宋体" w:cs="Times New Roman"/>
      <w:b/>
      <w:bCs/>
      <w:kern w:val="2"/>
      <w:sz w:val="21"/>
      <w:szCs w:val="24"/>
    </w:rPr>
  </w:style>
  <w:style w:type="character" w:customStyle="1" w:styleId="67">
    <w:name w:val="批注框文本 Char"/>
    <w:link w:val="28"/>
    <w:qFormat/>
    <w:uiPriority w:val="0"/>
    <w:rPr>
      <w:rFonts w:ascii="Calibri" w:hAnsi="Calibri" w:eastAsia="宋体" w:cs="Times New Roman"/>
      <w:kern w:val="2"/>
      <w:sz w:val="18"/>
      <w:szCs w:val="18"/>
    </w:rPr>
  </w:style>
  <w:style w:type="character" w:customStyle="1" w:styleId="68">
    <w:name w:val="font81"/>
    <w:qFormat/>
    <w:uiPriority w:val="0"/>
    <w:rPr>
      <w:rFonts w:ascii="黑体" w:hAnsi="宋体" w:eastAsia="黑体" w:cs="黑体"/>
      <w:color w:val="000000"/>
      <w:sz w:val="22"/>
      <w:szCs w:val="22"/>
      <w:u w:val="none"/>
    </w:rPr>
  </w:style>
  <w:style w:type="table" w:customStyle="1" w:styleId="69">
    <w:name w:val="无左右框线表格"/>
    <w:basedOn w:val="35"/>
    <w:qFormat/>
    <w:uiPriority w:val="99"/>
    <w:pPr>
      <w:jc w:val="center"/>
    </w:pPr>
    <w:rPr>
      <w:sz w:val="21"/>
    </w:rPr>
    <w:tblPr>
      <w:jc w:val="cente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70">
    <w:name w:val="正文格式"/>
    <w:basedOn w:val="1"/>
    <w:link w:val="71"/>
    <w:qFormat/>
    <w:uiPriority w:val="0"/>
    <w:pPr>
      <w:spacing w:line="360" w:lineRule="auto"/>
      <w:ind w:firstLine="200" w:firstLineChars="200"/>
      <w:jc w:val="center"/>
    </w:pPr>
    <w:rPr>
      <w:rFonts w:ascii="Times New Roman" w:hAnsi="Times New Roman" w:eastAsia="Times New Roman"/>
      <w:sz w:val="24"/>
    </w:rPr>
  </w:style>
  <w:style w:type="character" w:customStyle="1" w:styleId="71">
    <w:name w:val="正文格式 Char"/>
    <w:link w:val="70"/>
    <w:qFormat/>
    <w:uiPriority w:val="0"/>
    <w:rPr>
      <w:rFonts w:eastAsia="Times New Roman"/>
      <w:kern w:val="2"/>
      <w:sz w:val="24"/>
      <w:szCs w:val="24"/>
    </w:rPr>
  </w:style>
  <w:style w:type="table" w:customStyle="1" w:styleId="72">
    <w:name w:val="Table Normal"/>
    <w:basedOn w:val="35"/>
    <w:qFormat/>
    <w:uiPriority w:val="0"/>
    <w:rPr>
      <w:rFonts w:ascii="Arial" w:hAnsi="Arial" w:eastAsia="Times New Roman" w:cs="Arial"/>
      <w:color w:val="000000"/>
    </w:rPr>
    <w:tblPr>
      <w:tblCellMar>
        <w:top w:w="0" w:type="dxa"/>
        <w:left w:w="0" w:type="dxa"/>
        <w:bottom w:w="0" w:type="dxa"/>
        <w:right w:w="0" w:type="dxa"/>
      </w:tblCellMar>
    </w:tblPr>
  </w:style>
  <w:style w:type="table" w:customStyle="1" w:styleId="73">
    <w:name w:val="网格型1"/>
    <w:basedOn w:val="35"/>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4">
    <w:name w:val="页脚 Char"/>
    <w:link w:val="29"/>
    <w:qFormat/>
    <w:uiPriority w:val="99"/>
    <w:rPr>
      <w:rFonts w:ascii="Calibri" w:hAnsi="Calibri"/>
      <w:kern w:val="2"/>
      <w:sz w:val="18"/>
      <w:szCs w:val="24"/>
    </w:rPr>
  </w:style>
  <w:style w:type="paragraph" w:customStyle="1" w:styleId="75">
    <w:name w:val="TOC Heading"/>
    <w:basedOn w:val="13"/>
    <w:next w:val="1"/>
    <w:unhideWhenUsed/>
    <w:qFormat/>
    <w:uiPriority w:val="39"/>
    <w:pPr>
      <w:widowControl/>
      <w:spacing w:after="0" w:line="259" w:lineRule="auto"/>
      <w:jc w:val="left"/>
      <w:outlineLvl w:val="9"/>
    </w:pPr>
    <w:rPr>
      <w:rFonts w:ascii="Calibri Light" w:hAnsi="Calibri Light"/>
      <w:b w:val="0"/>
      <w:color w:val="2E74B5"/>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E6065-C945-4D24-A97B-0CC716BB8A39}">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27</Pages>
  <Words>12190</Words>
  <Characters>14943</Characters>
  <Lines>142</Lines>
  <Paragraphs>40</Paragraphs>
  <TotalTime>0</TotalTime>
  <ScaleCrop>false</ScaleCrop>
  <LinksUpToDate>false</LinksUpToDate>
  <CharactersWithSpaces>15031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2021-01-07T02:54:00Z</dcterms:created>
  <dc:creator>何嘉杰</dc:creator>
  <cp:lastModifiedBy>邹德娣</cp:lastModifiedBy>
  <cp:lastPrinted>2022-03-29T02:46:00Z</cp:lastPrinted>
  <dcterms:modified xsi:type="dcterms:W3CDTF">2023-05-18T06:46:37Z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07AF2FDA199842D5A925CB46B5050147</vt:lpwstr>
  </property>
</Properties>
</file>