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</w:p>
    <w:p>
      <w:pPr>
        <w:spacing w:line="560" w:lineRule="exact"/>
        <w:ind w:left="118" w:leftChars="56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（应诉机关）提交证据材料列表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盖章：                                       案号：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522"/>
        <w:gridCol w:w="1093"/>
        <w:gridCol w:w="1093"/>
        <w:gridCol w:w="173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证据名称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页数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页码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证明内容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ind w:lef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ind w:left="57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left="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wordWrap w:val="0"/>
        <w:ind w:left="56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提交时间：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E70C6"/>
    <w:rsid w:val="2B6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2022-03-17T03:45:00Z</dcterms:created>
  <dc:creator>陈安琪</dc:creator>
  <cp:lastModifiedBy>陈安琪</cp:lastModifiedBy>
  <dcterms:modified xsi:type="dcterms:W3CDTF">2022-03-17T03:45:21Z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82EBE7B8EB6745318E0AE2756CA9A2D7</vt:lpwstr>
  </property>
</Properties>
</file>