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auto"/>
          <w:sz w:val="44"/>
          <w:szCs w:val="44"/>
          <w:lang w:val="en-US" w:eastAsia="zh-CN"/>
        </w:rPr>
        <w:t>农产品质量安全普法宣传资料</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720" w:firstLineChars="200"/>
        <w:jc w:val="center"/>
        <w:textAlignment w:val="auto"/>
        <w:outlineLvl w:val="2"/>
        <w:rPr>
          <w:rFonts w:hint="eastAsia" w:ascii="黑体" w:hAnsi="黑体" w:eastAsia="黑体" w:cs="黑体"/>
          <w:b w:val="0"/>
          <w:bCs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720" w:firstLineChars="200"/>
        <w:jc w:val="center"/>
        <w:textAlignment w:val="auto"/>
        <w:outlineLvl w:val="2"/>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6"/>
          <w:szCs w:val="36"/>
        </w:rPr>
        <w:t>《农药管理条例》</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第二条</w:t>
      </w:r>
      <w:r>
        <w:rPr>
          <w:rFonts w:hint="eastAsia" w:ascii="仿宋_GB2312" w:hAnsi="仿宋_GB2312" w:eastAsia="仿宋_GB2312" w:cs="仿宋_GB2312"/>
          <w:color w:val="000000"/>
          <w:sz w:val="32"/>
          <w:szCs w:val="32"/>
          <w:shd w:val="clear" w:color="auto" w:fill="FFFFFF"/>
        </w:rPr>
        <w:t>　本条例所称农药，是指用于预防、控制危害农业、林业的病、虫、草、鼠和其他有害生物以及有目的地调节植物、昆虫生长的化学合成或者来源于生物、其他天然物质的一种物质或者几种物质的混合物及其制剂。</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rPr>
        <w:t>第三十三条</w:t>
      </w:r>
      <w:r>
        <w:rPr>
          <w:rFonts w:hint="eastAsia" w:ascii="仿宋_GB2312" w:hAnsi="仿宋_GB2312" w:eastAsia="仿宋_GB2312" w:cs="仿宋_GB2312"/>
          <w:color w:val="000000"/>
          <w:sz w:val="32"/>
          <w:szCs w:val="32"/>
        </w:rPr>
        <w:t>　农药使用者应当遵守国家有关农药安全、合理使用制度，妥善保管农药，并在配药、用药过程中采取必要的防护措施，避免发生农药使用事故。</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第三十四条</w:t>
      </w:r>
      <w:r>
        <w:rPr>
          <w:rFonts w:hint="eastAsia" w:ascii="仿宋_GB2312" w:hAnsi="仿宋_GB2312" w:eastAsia="仿宋_GB2312" w:cs="仿宋_GB2312"/>
          <w:color w:val="000000"/>
          <w:sz w:val="32"/>
          <w:szCs w:val="32"/>
        </w:rPr>
        <w:t>　农药使用者应当严格按照农药的标签标注的使用范围、使用方法和剂量、使用技术要求和注意事项使用农药，不得扩大使用范围、加大用药剂量或者改变使用方法。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农药使用者不得使用禁用的农药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标签标注安全间隔期的农药，在农产品收获前应当按照安全间隔期的要求停止使用。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剧毒、高毒农药不得用于防治卫生害虫，不得用于蔬菜、瓜果、茶叶、菌类、中草药材的生产，不得用于水生植物的病虫害防治。</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第三十五条</w:t>
      </w:r>
      <w:r>
        <w:rPr>
          <w:rFonts w:hint="eastAsia" w:ascii="仿宋_GB2312" w:hAnsi="仿宋_GB2312" w:eastAsia="仿宋_GB2312" w:cs="仿宋_GB2312"/>
          <w:color w:val="000000"/>
          <w:sz w:val="32"/>
          <w:szCs w:val="32"/>
        </w:rPr>
        <w:t>　农药使用者应当保护环境，保护有益生物和珍稀物种，不得在饮用水水源保护区、河道内丢弃农药、农药包装物或者清洗施药器械。</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严禁在饮用水水源保护区内使用农药，严禁使用农药毒鱼、虾、鸟、兽等。</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第三十六条</w:t>
      </w:r>
      <w:r>
        <w:rPr>
          <w:rFonts w:hint="eastAsia" w:ascii="仿宋_GB2312" w:hAnsi="仿宋_GB2312" w:eastAsia="仿宋_GB2312" w:cs="仿宋_GB2312"/>
          <w:color w:val="000000"/>
          <w:sz w:val="32"/>
          <w:szCs w:val="32"/>
        </w:rPr>
        <w:t>　农产品生产企业、食品和食用农产品仓储企业、专业化病虫害防治服务组织和从事农产品生产的农民专业合作社等应当建立农药使用记录，如实记录使用农药的时间、地点、对象以及农药名称、用量、生产企业等。农药使用记录应当保存2年以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国家鼓励其他农药使用者建立农药使用记录。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第三十七条</w:t>
      </w:r>
      <w:r>
        <w:rPr>
          <w:rFonts w:hint="eastAsia" w:ascii="仿宋_GB2312" w:hAnsi="仿宋_GB2312" w:eastAsia="仿宋_GB2312" w:cs="仿宋_GB2312"/>
          <w:color w:val="000000"/>
          <w:sz w:val="32"/>
          <w:szCs w:val="32"/>
        </w:rPr>
        <w:t>　国家鼓励农药使用者妥善收集农药包装物等废弃物；农药生产企业、农药经营者应当回收农药废弃物，防止农药污染环境和农药中毒事故的发生。</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第六十条　</w:t>
      </w:r>
      <w:r>
        <w:rPr>
          <w:rFonts w:hint="eastAsia" w:ascii="仿宋_GB2312" w:hAnsi="仿宋_GB2312" w:eastAsia="仿宋_GB2312" w:cs="仿宋_GB2312"/>
          <w:color w:val="000000"/>
          <w:sz w:val="32"/>
          <w:szCs w:val="32"/>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keepNext w:val="0"/>
        <w:keepLines w:val="0"/>
        <w:pageBreakBefore w:val="0"/>
        <w:numPr>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color w:val="000000"/>
          <w:sz w:val="32"/>
          <w:szCs w:val="32"/>
        </w:rPr>
        <w:t>不按照农药的标签标注的使用范围、使用方法和剂量、使用技术要求和注意事项、安全间隔期使用农药；</w:t>
      </w:r>
      <w:r>
        <w:rPr>
          <w:rFonts w:hint="eastAsia" w:ascii="仿宋_GB2312" w:hAnsi="仿宋_GB2312" w:eastAsia="仿宋_GB2312" w:cs="仿宋_GB2312"/>
          <w:b/>
          <w:bCs/>
          <w:color w:val="000000"/>
          <w:sz w:val="32"/>
          <w:szCs w:val="32"/>
        </w:rPr>
        <w:t>（二）</w:t>
      </w:r>
      <w:r>
        <w:rPr>
          <w:rFonts w:hint="eastAsia" w:ascii="仿宋_GB2312" w:hAnsi="仿宋_GB2312" w:eastAsia="仿宋_GB2312" w:cs="仿宋_GB2312"/>
          <w:color w:val="000000"/>
          <w:sz w:val="32"/>
          <w:szCs w:val="32"/>
        </w:rPr>
        <w:t>使用禁用的农药；</w:t>
      </w:r>
      <w:r>
        <w:rPr>
          <w:rFonts w:hint="eastAsia" w:ascii="仿宋_GB2312" w:hAnsi="仿宋_GB2312" w:eastAsia="仿宋_GB2312" w:cs="仿宋_GB2312"/>
          <w:b/>
          <w:bCs/>
          <w:color w:val="000000"/>
          <w:sz w:val="32"/>
          <w:szCs w:val="32"/>
        </w:rPr>
        <w:t>（三）</w:t>
      </w:r>
      <w:r>
        <w:rPr>
          <w:rFonts w:hint="eastAsia" w:ascii="仿宋_GB2312" w:hAnsi="仿宋_GB2312" w:eastAsia="仿宋_GB2312" w:cs="仿宋_GB2312"/>
          <w:color w:val="000000"/>
          <w:sz w:val="32"/>
          <w:szCs w:val="32"/>
        </w:rPr>
        <w:t>将剧毒、高毒农药用于防治卫生害虫，用于蔬菜、瓜果、茶叶、菌类、中草药材生产或者用于水生植物的病虫害防治；</w:t>
      </w:r>
      <w:r>
        <w:rPr>
          <w:rFonts w:hint="eastAsia" w:ascii="仿宋_GB2312" w:hAnsi="仿宋_GB2312" w:eastAsia="仿宋_GB2312" w:cs="仿宋_GB2312"/>
          <w:b/>
          <w:bCs/>
          <w:color w:val="000000"/>
          <w:sz w:val="32"/>
          <w:szCs w:val="32"/>
        </w:rPr>
        <w:t>（四）</w:t>
      </w:r>
      <w:r>
        <w:rPr>
          <w:rFonts w:hint="eastAsia" w:ascii="仿宋_GB2312" w:hAnsi="仿宋_GB2312" w:eastAsia="仿宋_GB2312" w:cs="仿宋_GB2312"/>
          <w:color w:val="000000"/>
          <w:sz w:val="32"/>
          <w:szCs w:val="32"/>
        </w:rPr>
        <w:t>在饮用水水源保护区内使用农药；</w:t>
      </w:r>
      <w:r>
        <w:rPr>
          <w:rFonts w:hint="eastAsia" w:ascii="仿宋_GB2312" w:hAnsi="仿宋_GB2312" w:eastAsia="仿宋_GB2312" w:cs="仿宋_GB2312"/>
          <w:b/>
          <w:bCs/>
          <w:color w:val="000000"/>
          <w:sz w:val="32"/>
          <w:szCs w:val="32"/>
        </w:rPr>
        <w:t>（五）</w:t>
      </w:r>
      <w:r>
        <w:rPr>
          <w:rFonts w:hint="eastAsia" w:ascii="仿宋_GB2312" w:hAnsi="仿宋_GB2312" w:eastAsia="仿宋_GB2312" w:cs="仿宋_GB2312"/>
          <w:color w:val="000000"/>
          <w:sz w:val="32"/>
          <w:szCs w:val="32"/>
        </w:rPr>
        <w:t>使用农药毒鱼、虾、鸟、兽等；</w:t>
      </w:r>
      <w:r>
        <w:rPr>
          <w:rFonts w:hint="eastAsia" w:ascii="仿宋_GB2312" w:hAnsi="仿宋_GB2312" w:eastAsia="仿宋_GB2312" w:cs="仿宋_GB2312"/>
          <w:b/>
          <w:bCs/>
          <w:color w:val="000000"/>
          <w:sz w:val="32"/>
          <w:szCs w:val="32"/>
        </w:rPr>
        <w:t>（六）</w:t>
      </w:r>
      <w:r>
        <w:rPr>
          <w:rFonts w:hint="eastAsia" w:ascii="仿宋_GB2312" w:hAnsi="仿宋_GB2312" w:eastAsia="仿宋_GB2312" w:cs="仿宋_GB2312"/>
          <w:color w:val="000000"/>
          <w:sz w:val="32"/>
          <w:szCs w:val="32"/>
        </w:rPr>
        <w:t>在饮用水水源保护区、河道内丢弃农药、农药包装物或者清洗施药器械。</w:t>
      </w:r>
    </w:p>
    <w:p>
      <w:pPr>
        <w:keepNext w:val="0"/>
        <w:keepLines w:val="0"/>
        <w:pageBreakBefore w:val="0"/>
        <w:numPr>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第六十</w:t>
      </w: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条　</w:t>
      </w:r>
      <w:r>
        <w:rPr>
          <w:rFonts w:hint="eastAsia" w:ascii="仿宋_GB2312" w:hAnsi="仿宋_GB2312" w:eastAsia="仿宋_GB2312" w:cs="仿宋_GB2312"/>
          <w:b w:val="0"/>
          <w:bCs w:val="0"/>
          <w:color w:val="000000"/>
          <w:sz w:val="32"/>
          <w:szCs w:val="32"/>
        </w:rPr>
        <w:t>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360" w:firstLineChars="100"/>
        <w:jc w:val="center"/>
        <w:textAlignment w:val="auto"/>
        <w:outlineLvl w:val="2"/>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《兽药管理条例》</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both"/>
        <w:textAlignment w:val="auto"/>
        <w:outlineLvl w:val="2"/>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bCs/>
          <w:color w:val="000000"/>
          <w:kern w:val="0"/>
          <w:sz w:val="32"/>
          <w:szCs w:val="32"/>
        </w:rPr>
        <w:t>第六十二条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both"/>
        <w:textAlignment w:val="auto"/>
        <w:outlineLvl w:val="2"/>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bCs/>
          <w:color w:val="000000"/>
          <w:kern w:val="0"/>
          <w:sz w:val="32"/>
          <w:szCs w:val="32"/>
        </w:rPr>
        <w:t>第六十三条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both"/>
        <w:textAlignment w:val="auto"/>
        <w:outlineLvl w:val="2"/>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bCs/>
          <w:color w:val="000000"/>
          <w:kern w:val="0"/>
          <w:sz w:val="32"/>
          <w:szCs w:val="32"/>
        </w:rPr>
        <w:t>第六十六条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违反本条例规定，未经兽医开具处方销售、购买、使用兽用处方药的，责令其限期改正，没收违法所得，并处5万元以下罚款；给他人造成损失的，依法承担赔偿责任。</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jc w:val="both"/>
        <w:textAlignment w:val="auto"/>
        <w:outlineLvl w:val="2"/>
        <w:rPr>
          <w:rFonts w:hint="eastAsia" w:ascii="黑体" w:hAnsi="黑体" w:eastAsia="黑体" w:cs="黑体"/>
          <w:b w:val="0"/>
          <w:bCs w:val="0"/>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360" w:firstLineChars="100"/>
        <w:jc w:val="center"/>
        <w:textAlignment w:val="auto"/>
        <w:outlineLvl w:val="2"/>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《中华人民共和国农产品质量安全法》</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rPr>
        <w:t>　有下列情形之一的农产品，不得销售：</w:t>
      </w: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含有国家禁止使用的农药、兽药或者其他化学物质的；</w:t>
      </w: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农药、兽药等化学物质残留或者含有的重金属等有毒有害物质不符合农产品质量安全标准的；</w:t>
      </w: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含有的致病性寄生虫、微生物或者生物毒素不符合农产品质量安全标准的；</w:t>
      </w: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使用的保鲜剂、防腐剂、添加剂等材料不符合国家有关强制性的技术规范的；</w:t>
      </w: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其他不符合农产品质量安全标准的。</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Fonts w:hint="eastAsia" w:ascii="仿宋_GB2312" w:hAnsi="仿宋_GB2312" w:eastAsia="仿宋_GB2312" w:cs="仿宋_GB2312"/>
          <w:sz w:val="32"/>
          <w:szCs w:val="32"/>
        </w:rPr>
      </w:pPr>
      <w:r>
        <w:rPr>
          <w:rStyle w:val="4"/>
          <w:rFonts w:hint="eastAsia" w:ascii="仿宋_GB2312" w:hAnsi="仿宋_GB2312" w:eastAsia="仿宋_GB2312" w:cs="仿宋_GB2312"/>
          <w:sz w:val="32"/>
          <w:szCs w:val="32"/>
        </w:rPr>
        <w:t>第四十九条</w:t>
      </w:r>
      <w:r>
        <w:rPr>
          <w:rFonts w:hint="eastAsia" w:ascii="仿宋_GB2312" w:hAnsi="仿宋_GB2312" w:eastAsia="仿宋_GB2312" w:cs="仿宋_GB2312"/>
          <w:sz w:val="32"/>
          <w:szCs w:val="32"/>
        </w:rPr>
        <w:t>　有本法</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4"/>
          <w:rFonts w:hint="eastAsia" w:ascii="仿宋_GB2312" w:hAnsi="仿宋_GB2312" w:eastAsia="仿宋_GB2312" w:cs="仿宋_GB2312"/>
          <w:sz w:val="32"/>
          <w:szCs w:val="32"/>
        </w:rPr>
        <w:t>第五十条</w:t>
      </w:r>
      <w:r>
        <w:rPr>
          <w:rFonts w:hint="eastAsia" w:ascii="仿宋_GB2312" w:hAnsi="仿宋_GB2312" w:eastAsia="仿宋_GB2312" w:cs="仿宋_GB2312"/>
          <w:sz w:val="32"/>
          <w:szCs w:val="32"/>
        </w:rPr>
        <w:t>　农产品生产企业、农民专业合作经济组织销售的农产品有本法</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第一项至第三项或者第五项所列情形之一的，责令停止销售，追回已经销售的农产品，对违法销售的农产品进行无害化处理或者予以监督销毁；没收违法所得，并处二千元以上二万元以下罚款。</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Style w:val="4"/>
          <w:rFonts w:hint="eastAsia" w:ascii="仿宋_GB2312" w:hAnsi="仿宋_GB2312" w:eastAsia="仿宋_GB2312" w:cs="仿宋_GB2312"/>
          <w:b w:val="0"/>
          <w:bCs w:val="0"/>
          <w:sz w:val="32"/>
          <w:szCs w:val="32"/>
        </w:rPr>
      </w:pPr>
      <w:r>
        <w:rPr>
          <w:rStyle w:val="4"/>
          <w:rFonts w:hint="eastAsia" w:ascii="仿宋_GB2312" w:hAnsi="仿宋_GB2312" w:eastAsia="仿宋_GB2312" w:cs="仿宋_GB2312"/>
          <w:sz w:val="32"/>
          <w:szCs w:val="32"/>
        </w:rPr>
        <w:t>第二十四条</w:t>
      </w:r>
      <w:r>
        <w:rPr>
          <w:rStyle w:val="4"/>
          <w:rFonts w:hint="eastAsia" w:ascii="仿宋_GB2312" w:hAnsi="仿宋_GB2312" w:eastAsia="仿宋_GB2312" w:cs="仿宋_GB2312"/>
          <w:sz w:val="32"/>
          <w:szCs w:val="32"/>
          <w:lang w:val="en-US" w:eastAsia="zh-CN"/>
        </w:rPr>
        <w:t xml:space="preserve">  </w:t>
      </w:r>
      <w:r>
        <w:rPr>
          <w:rStyle w:val="4"/>
          <w:rFonts w:hint="eastAsia" w:ascii="仿宋_GB2312" w:hAnsi="仿宋_GB2312" w:eastAsia="仿宋_GB2312" w:cs="仿宋_GB2312"/>
          <w:b w:val="0"/>
          <w:bCs w:val="0"/>
          <w:sz w:val="32"/>
          <w:szCs w:val="32"/>
        </w:rPr>
        <w:t>农产品生产企业和农民专业合作经济组织应当建立农产品生产记录，如实记载下列事项：（一）使用农业投入品的名称、来源、用法、用量和使用、停用的日期； （二）动物疫病、植物病虫草害的发生和防治情况； （三）收获、屠宰或者捕捞的日期。农产品生产记录应当保存二年。禁止伪造农产品生产记录。国家鼓励其他农产品生产者建立农产品生产记录。</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Style w:val="4"/>
          <w:rFonts w:hint="eastAsia" w:ascii="仿宋_GB2312" w:hAnsi="仿宋_GB2312" w:eastAsia="仿宋_GB2312" w:cs="仿宋_GB2312"/>
          <w:b w:val="0"/>
          <w:bCs w:val="0"/>
          <w:sz w:val="32"/>
          <w:szCs w:val="32"/>
        </w:rPr>
      </w:pPr>
      <w:r>
        <w:rPr>
          <w:rStyle w:val="4"/>
          <w:rFonts w:hint="eastAsia" w:ascii="仿宋_GB2312" w:hAnsi="仿宋_GB2312" w:eastAsia="仿宋_GB2312" w:cs="仿宋_GB2312"/>
          <w:sz w:val="32"/>
          <w:szCs w:val="32"/>
        </w:rPr>
        <w:t>第四十七条</w:t>
      </w:r>
      <w:r>
        <w:rPr>
          <w:rFonts w:hint="eastAsia" w:ascii="仿宋_GB2312" w:hAnsi="仿宋_GB2312" w:eastAsia="仿宋_GB2312" w:cs="仿宋_GB2312"/>
          <w:sz w:val="32"/>
          <w:szCs w:val="32"/>
        </w:rPr>
        <w:t>　</w:t>
      </w:r>
      <w:r>
        <w:rPr>
          <w:rStyle w:val="4"/>
          <w:rFonts w:hint="eastAsia" w:ascii="仿宋_GB2312" w:hAnsi="仿宋_GB2312" w:eastAsia="仿宋_GB2312" w:cs="仿宋_GB2312"/>
          <w:b w:val="0"/>
          <w:bCs w:val="0"/>
          <w:sz w:val="32"/>
          <w:szCs w:val="32"/>
        </w:rPr>
        <w:t>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ind w:firstLine="643" w:firstLineChars="200"/>
        <w:jc w:val="left"/>
        <w:textAlignment w:val="auto"/>
        <w:outlineLvl w:val="2"/>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第四十八条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违反本法</w:t>
      </w:r>
      <w:r>
        <w:rPr>
          <w:rFonts w:hint="eastAsia" w:ascii="仿宋_GB2312" w:hAnsi="仿宋_GB2312" w:eastAsia="仿宋_GB2312" w:cs="仿宋_GB2312"/>
          <w:b/>
          <w:bCs w:val="0"/>
          <w:sz w:val="32"/>
          <w:szCs w:val="32"/>
        </w:rPr>
        <w:t>第二十八条</w:t>
      </w:r>
      <w:r>
        <w:rPr>
          <w:rFonts w:hint="eastAsia" w:ascii="仿宋_GB2312" w:hAnsi="仿宋_GB2312" w:eastAsia="仿宋_GB2312" w:cs="仿宋_GB2312"/>
          <w:b w:val="0"/>
          <w:bCs/>
          <w:sz w:val="32"/>
          <w:szCs w:val="32"/>
        </w:rPr>
        <w:t>规定，销售的农产品未按照规定进行包装、标识的，责令限期改正；逾期不改正的，可以处二千元以下罚款。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bookmarkStart w:id="0" w:name="_GoBack"/>
      <w:bookmarkEnd w:id="0"/>
      <w:r>
        <w:rPr>
          <w:rFonts w:hint="eastAsia" w:ascii="宋体" w:hAnsi="宋体" w:eastAsia="宋体" w:cs="宋体"/>
          <w:b/>
          <w:bCs w:val="0"/>
          <w:sz w:val="36"/>
          <w:szCs w:val="36"/>
          <w:lang w:eastAsia="zh-CN"/>
        </w:rPr>
        <w:t>《</w:t>
      </w:r>
      <w:r>
        <w:rPr>
          <w:rFonts w:hint="eastAsia" w:ascii="宋体" w:hAnsi="宋体" w:eastAsia="宋体" w:cs="宋体"/>
          <w:b/>
          <w:bCs w:val="0"/>
          <w:sz w:val="36"/>
          <w:szCs w:val="36"/>
        </w:rPr>
        <w:t>最高人民法院最高人民检察院关于办理危害食品安全刑事案件中适用法律若干问题的解读</w:t>
      </w:r>
      <w:r>
        <w:rPr>
          <w:rFonts w:hint="eastAsia" w:ascii="宋体" w:hAnsi="宋体" w:eastAsia="宋体" w:cs="宋体"/>
          <w:b/>
          <w:bCs w:val="0"/>
          <w:sz w:val="36"/>
          <w:szCs w:val="36"/>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jc w:val="center"/>
        <w:textAlignment w:val="auto"/>
        <w:outlineLvl w:val="2"/>
        <w:rPr>
          <w:rFonts w:hint="eastAsia" w:ascii="宋体" w:hAnsi="宋体" w:eastAsia="宋体" w:cs="宋体"/>
          <w:b/>
          <w:bCs w:val="0"/>
          <w:sz w:val="36"/>
          <w:szCs w:val="36"/>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45" w:line="560" w:lineRule="exact"/>
        <w:ind w:firstLine="640" w:firstLineChars="20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食用农产品种植、养殖、销售、运输、贮存等过程中，违反食品安全标准，超限量或者超范围滥用添加剂、农药、兽药等，足以造成严重食物中毒事故或者其他严重食源性疾病的，依照刑法第一百四十三条的规定以生产、销售不符合安全标准的食品罪定罪处罚。在食用农产品种植、养殖、销售、运输、贮存等过程中，使用禁用农药、兽药等禁用物质或者其他有毒、有害物质的，依照刑法第一百四十四条的规定以生产、销售有毒、有害食品罪定罪处罚。</w:t>
      </w:r>
    </w:p>
    <w:p>
      <w:pPr>
        <w:jc w:val="left"/>
        <w:rPr>
          <w:rFonts w:hint="eastAsia" w:ascii="仿宋_GB2312" w:hAnsi="仿宋_GB2312" w:eastAsia="仿宋_GB2312" w:cs="仿宋_GB2312"/>
          <w:b/>
          <w:bCs w:val="0"/>
          <w:color w:val="00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E2A8D"/>
    <w:rsid w:val="152E2A8D"/>
    <w:rsid w:val="3B966E8C"/>
    <w:rsid w:val="5752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2020-12-18T09:21:00Z</dcterms:created>
  <dc:creator>Administrator</dc:creator>
  <cp:lastModifiedBy>借、 ￣過</cp:lastModifiedBy>
  <dcterms:modified xsi:type="dcterms:W3CDTF">2021-05-07T02:32:37Z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