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关于《台山市城区环境卫生专项规划（2012~2020）》方案修编的公示</w:t>
      </w:r>
    </w:p>
    <w:p>
      <w:pPr>
        <w:spacing w:line="560" w:lineRule="exact"/>
        <w:ind w:firstLine="640" w:firstLineChars="200"/>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为发展静脉产业</w:t>
      </w:r>
      <w:r>
        <w:rPr>
          <w:rFonts w:hint="eastAsia" w:ascii="仿宋" w:hAnsi="仿宋" w:eastAsia="仿宋" w:cs="仿宋"/>
          <w:sz w:val="32"/>
          <w:szCs w:val="32"/>
          <w:lang w:eastAsia="zh-CN"/>
        </w:rPr>
        <w:t>园</w:t>
      </w:r>
      <w:r>
        <w:rPr>
          <w:rFonts w:hint="eastAsia" w:ascii="仿宋" w:hAnsi="仿宋" w:eastAsia="仿宋" w:cs="仿宋"/>
          <w:sz w:val="32"/>
          <w:szCs w:val="32"/>
        </w:rPr>
        <w:t>，实现循环经济，推动经济社会可持续发展，台山市城市管理和综合执法局申请对《台山市城区环境卫生专项规划（2012~2020）》进行修编，增加静脉产业园规划，内容如下：</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一、生活垃圾焚烧规划</w:t>
      </w:r>
    </w:p>
    <w:p>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（一）工艺流程</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垃圾焚烧工艺流程包括了垃圾接收、储存与运输、焚烧系统、余热利用系统、烟气净化处理、灰渣收集处理系统等。</w:t>
      </w:r>
    </w:p>
    <w:p>
      <w:pPr>
        <w:numPr>
          <w:ilvl w:val="0"/>
          <w:numId w:val="1"/>
        </w:num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技术特点</w:t>
      </w:r>
    </w:p>
    <w:p>
      <w:pPr>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 xml:space="preserve">1.无害化彻底：高温燃烧可使垃圾中有害物得到完全分解，完善可靠的烟气净化系统可以将烟气中污染物的含量处理到环保部门要求的范围内。 </w:t>
      </w:r>
    </w:p>
    <w:p>
      <w:pPr>
        <w:widowControl/>
        <w:spacing w:line="56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 xml:space="preserve">2.减容、减量效果好：使垃圾体积减少 80～90%，重量减少 70%以上。 </w:t>
      </w:r>
    </w:p>
    <w:p>
      <w:pPr>
        <w:widowControl/>
        <w:spacing w:line="560" w:lineRule="exact"/>
        <w:ind w:firstLine="640" w:firstLineChars="200"/>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3.有利于资源再利用：燃烧产生的热量可用于发电或供热。</w:t>
      </w:r>
    </w:p>
    <w:p>
      <w:pPr>
        <w:widowControl/>
        <w:spacing w:line="56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 xml:space="preserve">4.焚烧技术比较成熟，焚烧过程采用 DCS 控制，可保证燃烧过程处于最佳工况，所以二次污染小。 </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 xml:space="preserve">5.综合效果好：由于污染低、占地面积小，可靠近城市建厂，既节约用地、又减少运输成本，选址相对容易。 </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因此，在具备经济条件、垃圾热值条件和缺乏卫生填埋场地资源的地区，焚烧处理技术在全世界得到了迅速发展。</w:t>
      </w:r>
    </w:p>
    <w:p>
      <w:pPr>
        <w:numPr>
          <w:ilvl w:val="0"/>
          <w:numId w:val="1"/>
        </w:numPr>
        <w:spacing w:line="560" w:lineRule="exact"/>
        <w:ind w:firstLine="643" w:firstLineChars="200"/>
        <w:rPr>
          <w:rFonts w:ascii="仿宋" w:hAnsi="仿宋" w:eastAsia="仿宋" w:cs="仿宋"/>
          <w:b/>
          <w:bCs/>
          <w:color w:val="000000"/>
          <w:kern w:val="0"/>
          <w:sz w:val="32"/>
          <w:szCs w:val="32"/>
          <w:lang w:bidi="ar"/>
        </w:rPr>
      </w:pPr>
      <w:r>
        <w:rPr>
          <w:rFonts w:hint="eastAsia" w:ascii="仿宋" w:hAnsi="仿宋" w:eastAsia="仿宋" w:cs="仿宋"/>
          <w:b/>
          <w:bCs/>
          <w:sz w:val="32"/>
          <w:szCs w:val="32"/>
        </w:rPr>
        <w:t>选址要求</w:t>
      </w:r>
    </w:p>
    <w:p>
      <w:pPr>
        <w:widowControl/>
        <w:spacing w:line="56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1.垃圾焚烧厂的厂址选择应符合城乡总体规划和环境卫生专业规划要求，建设单位须自行或委托专业机构编制环境影响评价文件，并报有审批权限的生态环境部门审批同意后方能动工建设。</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 xml:space="preserve">2.厂址选择应综合考虑垃圾焚烧厂的服务区域、服务区的垃圾转运能力、运输距离、预留发展等因素。 </w:t>
      </w:r>
    </w:p>
    <w:p>
      <w:pPr>
        <w:widowControl/>
        <w:spacing w:line="56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 xml:space="preserve">3.厂址选择在生态资源、地面水系、机场、文化遗址、风景区等敏感目标少的区域。 </w:t>
      </w:r>
    </w:p>
    <w:p>
      <w:pPr>
        <w:widowControl/>
        <w:spacing w:line="56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 xml:space="preserve">4.厂址条件应符合下列要求： </w:t>
      </w:r>
    </w:p>
    <w:p>
      <w:pPr>
        <w:widowControl/>
        <w:numPr>
          <w:ilvl w:val="0"/>
          <w:numId w:val="2"/>
        </w:numPr>
        <w:spacing w:line="56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 xml:space="preserve">厂址应满足工程建设的工程地质条件和水位地质条件，不应选在发震断层、滑坡、泥石流、沼泽、流沙及采矿陷落区等地区。 </w:t>
      </w:r>
    </w:p>
    <w:p>
      <w:pPr>
        <w:widowControl/>
        <w:numPr>
          <w:ilvl w:val="0"/>
          <w:numId w:val="2"/>
        </w:numPr>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厂址不应受洪水、潮水或内涝的威胁，必须建在该类地区时，应有可靠的防洪、排涝措施，其防洪标准应符合现行国家标准《防洪标准》GB50201 的有关规定。</w:t>
      </w:r>
    </w:p>
    <w:p>
      <w:pPr>
        <w:widowControl/>
        <w:numPr>
          <w:ilvl w:val="0"/>
          <w:numId w:val="2"/>
        </w:numPr>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厂址与服务区之间应有良好的道路交通条件。</w:t>
      </w:r>
    </w:p>
    <w:p>
      <w:pPr>
        <w:widowControl/>
        <w:numPr>
          <w:ilvl w:val="0"/>
          <w:numId w:val="2"/>
        </w:numPr>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 xml:space="preserve">厂址选择时，应同时确定灰渣处理与处置的场所。        </w:t>
      </w:r>
    </w:p>
    <w:p>
      <w:pPr>
        <w:widowControl/>
        <w:numPr>
          <w:ilvl w:val="0"/>
          <w:numId w:val="2"/>
        </w:num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厂址应有满足生产、生活的供水水源和污水排放条件。</w:t>
      </w:r>
    </w:p>
    <w:p>
      <w:pPr>
        <w:widowControl/>
        <w:numPr>
          <w:ilvl w:val="0"/>
          <w:numId w:val="2"/>
        </w:numPr>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厂址附近有必需的电力供应，对于利用垃圾焚烧热能发电的垃圾焚烧厂，其电能应易于接入地区电力网。</w:t>
      </w:r>
    </w:p>
    <w:p>
      <w:pPr>
        <w:widowControl/>
        <w:numPr>
          <w:ilvl w:val="0"/>
          <w:numId w:val="2"/>
        </w:numPr>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对于利用垃圾焚烧热能供热的垃圾焚烧厂，厂址的选择应考虑热用户分布，供热管网的技术可行性和经济性等因素。</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二、污泥处理系统规划</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规划接收台山市污水处理厂产生的市政污水处理后的剩余污泥，含水率平均为 60%。规划处理规模为 50t/d。</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三、渗滤液处理系统规划</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完善台山市渗滤液处理体系，建设渗滤液应急处理系统。工艺选取应根据当地实际情况等进行选取。处理规模应满足台山市每日排放水量，COD、总氮等主要指标符合环保部门要求，渗滤液处理设施要与垃圾处理设施同步建设。</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四、建筑垃圾资源化处理系统</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针对台山市现有的建筑垃圾进行资源化处理、资源循环式利用、产业循环式组合、厂区循环化改造，加快三废资源化利用，完善再生资源回收体系，支持再制造产业化发展，加快发展节能环保产业。近期处理规模为300t/d，远期规划建筑垃圾综合利用厂建设规模</w:t>
      </w:r>
      <w:r>
        <w:rPr>
          <w:rFonts w:hint="eastAsia" w:ascii="仿宋" w:hAnsi="仿宋" w:eastAsia="仿宋" w:cs="仿宋"/>
          <w:color w:val="000000"/>
          <w:kern w:val="0"/>
          <w:sz w:val="32"/>
          <w:szCs w:val="32"/>
          <w:lang w:eastAsia="zh-CN" w:bidi="ar"/>
        </w:rPr>
        <w:t>为</w:t>
      </w:r>
      <w:r>
        <w:rPr>
          <w:rFonts w:hint="eastAsia" w:ascii="仿宋" w:hAnsi="仿宋" w:eastAsia="仿宋" w:cs="仿宋"/>
          <w:color w:val="000000"/>
          <w:kern w:val="0"/>
          <w:sz w:val="32"/>
          <w:szCs w:val="32"/>
          <w:lang w:bidi="ar"/>
        </w:rPr>
        <w:t>1400 吨/日。</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五、用地规划</w:t>
      </w:r>
    </w:p>
    <w:p>
      <w:pPr>
        <w:numPr>
          <w:ilvl w:val="0"/>
          <w:numId w:val="3"/>
        </w:num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选址规划</w:t>
      </w:r>
    </w:p>
    <w:p>
      <w:pPr>
        <w:widowControl/>
        <w:spacing w:line="56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 xml:space="preserve">初步选择下豆坑场址作为静脉产业园拟选场址，下豆坑场址位于台山市台城街道筋坑村，现状为台山市下豆坑垃圾填埋场，地处台山市城区西南方，距台山城区中心约6 公里，场址东侧约 1 公里处有省道 S274 经过。静脉产业园规划总占地面积 240 亩，其中建筑物占地面积 84 亩，规划用地符合划拨用地目录，采用划拨方式供应土地。 </w:t>
      </w:r>
    </w:p>
    <w:p>
      <w:pPr>
        <w:numPr>
          <w:ilvl w:val="0"/>
          <w:numId w:val="3"/>
        </w:num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地形地貌</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项目拟选场址所处地貌属丘陵地貌，三面环山，山体覆盖植被茂密，腹部区域平坦，现状为鱼塘和经济作物种植场。场址区域内无常年径流，暴雨时形成暴雨径流。</w:t>
      </w:r>
    </w:p>
    <w:p>
      <w:pPr>
        <w:numPr>
          <w:ilvl w:val="0"/>
          <w:numId w:val="3"/>
        </w:num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社会稳定条件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1.居民数与拆迁量</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场址附近有南一村、南二村、南乐村、联兴村、常兴村、眠岗村、流蓢村、潮龙村、永和村、永盛村等自然村。场址距离南一村 0.8 公里，户籍人</w:t>
      </w:r>
      <w:r>
        <w:rPr>
          <w:rFonts w:hint="eastAsia" w:ascii="仿宋" w:hAnsi="仿宋" w:eastAsia="仿宋" w:cs="仿宋"/>
          <w:sz w:val="32"/>
          <w:szCs w:val="32"/>
          <w:lang w:eastAsia="zh-CN"/>
        </w:rPr>
        <w:t>口</w:t>
      </w:r>
      <w:r>
        <w:rPr>
          <w:rFonts w:hint="eastAsia" w:ascii="仿宋" w:hAnsi="仿宋" w:eastAsia="仿宋" w:cs="仿宋"/>
          <w:sz w:val="32"/>
          <w:szCs w:val="32"/>
        </w:rPr>
        <w:t>189</w:t>
      </w:r>
      <w:r>
        <w:rPr>
          <w:rFonts w:hint="eastAsia" w:ascii="仿宋" w:hAnsi="仿宋" w:eastAsia="仿宋" w:cs="仿宋"/>
          <w:sz w:val="32"/>
          <w:szCs w:val="32"/>
          <w:lang w:eastAsia="zh-CN"/>
        </w:rPr>
        <w:t>人</w:t>
      </w:r>
      <w:r>
        <w:rPr>
          <w:rFonts w:hint="eastAsia" w:ascii="仿宋" w:hAnsi="仿宋" w:eastAsia="仿宋" w:cs="仿宋"/>
          <w:sz w:val="32"/>
          <w:szCs w:val="32"/>
        </w:rPr>
        <w:t>；距离南二村 0.7 公里，户籍人口93</w:t>
      </w:r>
      <w:r>
        <w:rPr>
          <w:rFonts w:hint="eastAsia" w:ascii="仿宋" w:hAnsi="仿宋" w:eastAsia="仿宋" w:cs="仿宋"/>
          <w:sz w:val="32"/>
          <w:szCs w:val="32"/>
          <w:lang w:eastAsia="zh-CN"/>
        </w:rPr>
        <w:t>人</w:t>
      </w:r>
      <w:r>
        <w:rPr>
          <w:rFonts w:hint="eastAsia" w:ascii="仿宋" w:hAnsi="仿宋" w:eastAsia="仿宋" w:cs="仿宋"/>
          <w:sz w:val="32"/>
          <w:szCs w:val="32"/>
        </w:rPr>
        <w:t>；距离南乐村 0.6 公里，户籍人</w:t>
      </w:r>
      <w:r>
        <w:rPr>
          <w:rFonts w:hint="eastAsia" w:ascii="仿宋" w:hAnsi="仿宋" w:eastAsia="仿宋" w:cs="仿宋"/>
          <w:sz w:val="32"/>
          <w:szCs w:val="32"/>
          <w:lang w:eastAsia="zh-CN"/>
        </w:rPr>
        <w:t>口</w:t>
      </w:r>
      <w:r>
        <w:rPr>
          <w:rFonts w:hint="eastAsia" w:ascii="仿宋" w:hAnsi="仿宋" w:eastAsia="仿宋" w:cs="仿宋"/>
          <w:sz w:val="32"/>
          <w:szCs w:val="32"/>
        </w:rPr>
        <w:t>58</w:t>
      </w:r>
      <w:r>
        <w:rPr>
          <w:rFonts w:hint="eastAsia" w:ascii="仿宋" w:hAnsi="仿宋" w:eastAsia="仿宋" w:cs="仿宋"/>
          <w:sz w:val="32"/>
          <w:szCs w:val="32"/>
          <w:lang w:eastAsia="zh-CN"/>
        </w:rPr>
        <w:t>人</w:t>
      </w:r>
      <w:r>
        <w:rPr>
          <w:rFonts w:hint="eastAsia" w:ascii="仿宋" w:hAnsi="仿宋" w:eastAsia="仿宋" w:cs="仿宋"/>
          <w:sz w:val="32"/>
          <w:szCs w:val="32"/>
        </w:rPr>
        <w:t>；距离联兴村 1 公里，户籍人</w:t>
      </w:r>
      <w:r>
        <w:rPr>
          <w:rFonts w:hint="eastAsia" w:ascii="仿宋" w:hAnsi="仿宋" w:eastAsia="仿宋" w:cs="仿宋"/>
          <w:sz w:val="32"/>
          <w:szCs w:val="32"/>
          <w:lang w:eastAsia="zh-CN"/>
        </w:rPr>
        <w:t>口</w:t>
      </w:r>
      <w:r>
        <w:rPr>
          <w:rFonts w:hint="eastAsia" w:ascii="仿宋" w:hAnsi="仿宋" w:eastAsia="仿宋" w:cs="仿宋"/>
          <w:sz w:val="32"/>
          <w:szCs w:val="32"/>
        </w:rPr>
        <w:t>85</w:t>
      </w:r>
      <w:r>
        <w:rPr>
          <w:rFonts w:hint="eastAsia" w:ascii="仿宋" w:hAnsi="仿宋" w:eastAsia="仿宋" w:cs="仿宋"/>
          <w:sz w:val="32"/>
          <w:szCs w:val="32"/>
          <w:lang w:eastAsia="zh-CN"/>
        </w:rPr>
        <w:t>人</w:t>
      </w:r>
      <w:r>
        <w:rPr>
          <w:rFonts w:hint="eastAsia" w:ascii="仿宋" w:hAnsi="仿宋" w:eastAsia="仿宋" w:cs="仿宋"/>
          <w:sz w:val="32"/>
          <w:szCs w:val="32"/>
        </w:rPr>
        <w:t>；距离常兴村 1公里，户籍人口120</w:t>
      </w:r>
      <w:r>
        <w:rPr>
          <w:rFonts w:hint="eastAsia" w:ascii="仿宋" w:hAnsi="仿宋" w:eastAsia="仿宋" w:cs="仿宋"/>
          <w:sz w:val="32"/>
          <w:szCs w:val="32"/>
          <w:lang w:eastAsia="zh-CN"/>
        </w:rPr>
        <w:t>人</w:t>
      </w:r>
      <w:r>
        <w:rPr>
          <w:rFonts w:hint="eastAsia" w:ascii="仿宋" w:hAnsi="仿宋" w:eastAsia="仿宋" w:cs="仿宋"/>
          <w:sz w:val="32"/>
          <w:szCs w:val="32"/>
        </w:rPr>
        <w:t>；距离眠岗村 0.9 公里，户籍人</w:t>
      </w:r>
      <w:r>
        <w:rPr>
          <w:rFonts w:hint="eastAsia" w:ascii="仿宋" w:hAnsi="仿宋" w:eastAsia="仿宋" w:cs="仿宋"/>
          <w:sz w:val="32"/>
          <w:szCs w:val="32"/>
          <w:lang w:eastAsia="zh-CN"/>
        </w:rPr>
        <w:t>口</w:t>
      </w:r>
      <w:r>
        <w:rPr>
          <w:rFonts w:hint="eastAsia" w:ascii="仿宋" w:hAnsi="仿宋" w:eastAsia="仿宋" w:cs="仿宋"/>
          <w:sz w:val="32"/>
          <w:szCs w:val="32"/>
        </w:rPr>
        <w:t>44</w:t>
      </w:r>
      <w:r>
        <w:rPr>
          <w:rFonts w:hint="eastAsia" w:ascii="仿宋" w:hAnsi="仿宋" w:eastAsia="仿宋" w:cs="仿宋"/>
          <w:sz w:val="32"/>
          <w:szCs w:val="32"/>
          <w:lang w:eastAsia="zh-CN"/>
        </w:rPr>
        <w:t>人</w:t>
      </w:r>
      <w:r>
        <w:rPr>
          <w:rFonts w:hint="eastAsia" w:ascii="仿宋" w:hAnsi="仿宋" w:eastAsia="仿宋" w:cs="仿宋"/>
          <w:sz w:val="32"/>
          <w:szCs w:val="32"/>
        </w:rPr>
        <w:t>；距离流蓢村 1.1 公里，户籍人口无数据；距离潮龙村 0.6 公里，户籍人口无数据；距离永和村 0.8 公里，户籍人口无数据；距离永盛村 0.8 公里，户籍人口无数据。场址 500 米范围内无居民点分布，场址范围内已完成征拆工作。场址用地现部分租赁于个人用于农作物种植，可通过协商收回该部分用地。</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2.环境敏感点</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新陂场址周边无水库、自然保护区、风景区等环境敏感点。厂址区域内未发现压覆矿产、文物及军事设施，不属于大中城市规划区。</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3.风向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台山风向比较稳定，春夏多吹南风，秋冬多吹北风，下豆坑场址位于台山市城区西南方向，并不处于城区的主导风向上。</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根据相关规定，现将调整事项进行公示，凡与上述调整有重大利益关系的，可公示之日起三十日内向我局提出书面意见或申述，逾期未提出的，视为放弃上述权利。</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公示地点：台山市城市管理和综合执法局官网</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公示时间：2020年12月</w:t>
      </w:r>
      <w:r>
        <w:rPr>
          <w:rFonts w:hint="eastAsia" w:ascii="仿宋" w:hAnsi="仿宋" w:eastAsia="仿宋" w:cs="仿宋"/>
          <w:sz w:val="32"/>
          <w:szCs w:val="32"/>
          <w:lang w:val="en-US" w:eastAsia="zh-CN"/>
        </w:rPr>
        <w:t>31</w:t>
      </w:r>
      <w:r>
        <w:rPr>
          <w:rFonts w:hint="eastAsia" w:ascii="仿宋" w:hAnsi="仿宋" w:eastAsia="仿宋" w:cs="仿宋"/>
          <w:sz w:val="32"/>
          <w:szCs w:val="32"/>
        </w:rPr>
        <w:t>日至1月</w:t>
      </w:r>
      <w:r>
        <w:rPr>
          <w:rFonts w:hint="eastAsia" w:ascii="仿宋" w:hAnsi="仿宋" w:eastAsia="仿宋" w:cs="仿宋"/>
          <w:sz w:val="32"/>
          <w:szCs w:val="32"/>
          <w:lang w:val="en-US" w:eastAsia="zh-CN"/>
        </w:rPr>
        <w:t>29</w:t>
      </w:r>
      <w:r>
        <w:rPr>
          <w:rFonts w:hint="eastAsia" w:ascii="仿宋" w:hAnsi="仿宋" w:eastAsia="仿宋" w:cs="仿宋"/>
          <w:sz w:val="32"/>
          <w:szCs w:val="32"/>
        </w:rPr>
        <w:t>日</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联系人：区畅华</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联系电话：0750-5539939</w:t>
      </w:r>
    </w:p>
    <w:p>
      <w:pPr>
        <w:spacing w:line="560" w:lineRule="exact"/>
        <w:ind w:firstLine="640" w:firstLineChars="200"/>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台山市城市管理和综合执法局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2020年12月</w:t>
      </w:r>
      <w:r>
        <w:rPr>
          <w:rFonts w:hint="eastAsia" w:ascii="仿宋" w:hAnsi="仿宋" w:eastAsia="仿宋" w:cs="仿宋"/>
          <w:sz w:val="32"/>
          <w:szCs w:val="32"/>
          <w:lang w:val="en-US" w:eastAsia="zh-CN"/>
        </w:rPr>
        <w:t>30</w:t>
      </w:r>
      <w:bookmarkStart w:id="1" w:name="_GoBack"/>
      <w:bookmarkEnd w:id="1"/>
      <w:r>
        <w:rPr>
          <w:rFonts w:hint="eastAsia" w:ascii="仿宋" w:hAnsi="仿宋" w:eastAsia="仿宋" w:cs="仿宋"/>
          <w:sz w:val="32"/>
          <w:szCs w:val="32"/>
        </w:rPr>
        <w:t>日</w:t>
      </w:r>
    </w:p>
    <w:p>
      <w:pPr>
        <w:spacing w:line="560" w:lineRule="exact"/>
        <w:jc w:val="left"/>
        <w:rPr>
          <w:rFonts w:hint="eastAsia" w:ascii="仿宋" w:hAnsi="仿宋" w:eastAsia="仿宋" w:cs="仿宋"/>
          <w:sz w:val="32"/>
          <w:szCs w:val="32"/>
        </w:rPr>
      </w:pPr>
      <w:bookmarkStart w:id="0" w:name="br1"/>
      <w:bookmarkEnd w:id="0"/>
    </w:p>
    <w:p>
      <w:pPr>
        <w:spacing w:line="560" w:lineRule="exact"/>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p>
    <w:p>
      <w:pPr>
        <w:spacing w:line="560" w:lineRule="exact"/>
        <w:jc w:val="left"/>
        <w:rPr>
          <w:rFonts w:ascii="仿宋" w:hAnsi="仿宋" w:eastAsia="仿宋" w:cs="仿宋"/>
          <w:sz w:val="32"/>
          <w:szCs w:val="32"/>
        </w:rPr>
      </w:pPr>
      <w:r>
        <w:rPr>
          <w:rFonts w:hint="eastAsia" w:ascii="仿宋" w:hAnsi="仿宋" w:eastAsia="仿宋" w:cs="仿宋"/>
          <w:sz w:val="32"/>
          <w:szCs w:val="32"/>
        </w:rPr>
        <w:t>附图：</w:t>
      </w:r>
    </w:p>
    <w:p>
      <w:pPr>
        <w:spacing w:line="560" w:lineRule="exact"/>
        <w:jc w:val="left"/>
        <w:rPr>
          <w:rFonts w:ascii="仿宋" w:hAnsi="仿宋" w:eastAsia="仿宋" w:cs="仿宋"/>
          <w:sz w:val="32"/>
          <w:szCs w:val="32"/>
        </w:rPr>
      </w:pPr>
      <w:r>
        <w:drawing>
          <wp:anchor distT="0" distB="0" distL="114300" distR="114300" simplePos="0" relativeHeight="251665408" behindDoc="0" locked="0" layoutInCell="1" allowOverlap="1">
            <wp:simplePos x="0" y="0"/>
            <wp:positionH relativeFrom="column">
              <wp:posOffset>681355</wp:posOffset>
            </wp:positionH>
            <wp:positionV relativeFrom="paragraph">
              <wp:posOffset>334645</wp:posOffset>
            </wp:positionV>
            <wp:extent cx="4011295" cy="7158990"/>
            <wp:effectExtent l="0" t="0" r="8255" b="381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011295" cy="7158990"/>
                    </a:xfrm>
                    <a:prstGeom prst="rect">
                      <a:avLst/>
                    </a:prstGeom>
                    <a:noFill/>
                    <a:ln>
                      <a:noFill/>
                    </a:ln>
                  </pic:spPr>
                </pic:pic>
              </a:graphicData>
            </a:graphic>
          </wp:anchor>
        </w:drawing>
      </w:r>
      <w:r>
        <w:rPr>
          <w:rFonts w:hint="eastAsia" w:ascii="仿宋" w:hAnsi="仿宋" w:eastAsia="仿宋" w:cs="仿宋"/>
          <w:sz w:val="32"/>
          <w:szCs w:val="32"/>
        </w:rPr>
        <w:t xml:space="preserve">                 </w:t>
      </w:r>
      <w:r>
        <w:rPr>
          <w:rFonts w:hint="eastAsia" w:ascii="仿宋" w:hAnsi="仿宋" w:eastAsia="仿宋" w:cs="仿宋"/>
          <w:sz w:val="24"/>
        </w:rPr>
        <w:t>下豆坑垃圾填埋场位置示意图</w:t>
      </w:r>
    </w:p>
    <w:p>
      <w:pPr>
        <w:spacing w:line="560" w:lineRule="exact"/>
        <w:jc w:val="left"/>
        <w:rPr>
          <w:rFonts w:ascii="仿宋" w:hAnsi="仿宋" w:eastAsia="仿宋" w:cs="仿宋"/>
          <w:sz w:val="24"/>
        </w:rPr>
      </w:pPr>
    </w:p>
    <w:p>
      <w:pPr>
        <w:spacing w:line="560" w:lineRule="exact"/>
        <w:ind w:firstLine="3120" w:firstLineChars="1300"/>
        <w:jc w:val="left"/>
        <w:rPr>
          <w:rFonts w:ascii="仿宋" w:hAnsi="仿宋" w:eastAsia="仿宋" w:cs="仿宋"/>
          <w:sz w:val="24"/>
        </w:rPr>
      </w:pPr>
      <w:r>
        <w:rPr>
          <w:rFonts w:hint="eastAsia" w:ascii="仿宋" w:hAnsi="仿宋" w:eastAsia="仿宋" w:cs="仿宋"/>
          <w:sz w:val="24"/>
        </w:rPr>
        <w:t>静脉产业园位置示意图</w:t>
      </w:r>
      <w:r>
        <w:rPr>
          <w:rFonts w:hint="eastAsia" w:ascii="仿宋" w:hAnsi="仿宋" w:eastAsia="仿宋" w:cs="仿宋"/>
          <w:sz w:val="24"/>
        </w:rPr>
        <w:drawing>
          <wp:anchor distT="0" distB="0" distL="114300" distR="114300" simplePos="0" relativeHeight="251664384" behindDoc="0" locked="0" layoutInCell="1" allowOverlap="1">
            <wp:simplePos x="0" y="0"/>
            <wp:positionH relativeFrom="column">
              <wp:posOffset>118110</wp:posOffset>
            </wp:positionH>
            <wp:positionV relativeFrom="paragraph">
              <wp:posOffset>172085</wp:posOffset>
            </wp:positionV>
            <wp:extent cx="5274945" cy="7457440"/>
            <wp:effectExtent l="0" t="0" r="1905" b="10160"/>
            <wp:wrapSquare wrapText="bothSides"/>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5"/>
                    <a:stretch>
                      <a:fillRect/>
                    </a:stretch>
                  </pic:blipFill>
                  <pic:spPr>
                    <a:xfrm>
                      <a:off x="0" y="0"/>
                      <a:ext cx="5274945" cy="7457440"/>
                    </a:xfrm>
                    <a:prstGeom prst="rect">
                      <a:avLst/>
                    </a:prstGeom>
                  </pic:spPr>
                </pic:pic>
              </a:graphicData>
            </a:graphic>
          </wp:anchor>
        </w:drawing>
      </w:r>
    </w:p>
    <w:p>
      <w:pPr>
        <w:spacing w:line="560" w:lineRule="exact"/>
        <w:jc w:val="left"/>
        <w:rPr>
          <w:rFonts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CB974"/>
    <w:multiLevelType w:val="singleLevel"/>
    <w:tmpl w:val="242CB974"/>
    <w:lvl w:ilvl="0" w:tentative="0">
      <w:start w:val="2"/>
      <w:numFmt w:val="chineseCounting"/>
      <w:suff w:val="nothing"/>
      <w:lvlText w:val="（%1）"/>
      <w:lvlJc w:val="left"/>
      <w:rPr>
        <w:rFonts w:hint="eastAsia"/>
      </w:rPr>
    </w:lvl>
  </w:abstractNum>
  <w:abstractNum w:abstractNumId="1">
    <w:nsid w:val="32A3A19D"/>
    <w:multiLevelType w:val="singleLevel"/>
    <w:tmpl w:val="32A3A19D"/>
    <w:lvl w:ilvl="0" w:tentative="0">
      <w:start w:val="1"/>
      <w:numFmt w:val="decimal"/>
      <w:suff w:val="nothing"/>
      <w:lvlText w:val="（%1）"/>
      <w:lvlJc w:val="left"/>
    </w:lvl>
  </w:abstractNum>
  <w:abstractNum w:abstractNumId="2">
    <w:nsid w:val="51155749"/>
    <w:multiLevelType w:val="singleLevel"/>
    <w:tmpl w:val="51155749"/>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7053"/>
    <w:rsid w:val="00172A27"/>
    <w:rsid w:val="001F7BDA"/>
    <w:rsid w:val="00C70B05"/>
    <w:rsid w:val="01F6061F"/>
    <w:rsid w:val="049C2823"/>
    <w:rsid w:val="0FED5A32"/>
    <w:rsid w:val="18502D16"/>
    <w:rsid w:val="1BAD01ED"/>
    <w:rsid w:val="1EED21C6"/>
    <w:rsid w:val="1FC66D67"/>
    <w:rsid w:val="1FCC01BE"/>
    <w:rsid w:val="21BA2AE4"/>
    <w:rsid w:val="23AF698D"/>
    <w:rsid w:val="24D56998"/>
    <w:rsid w:val="25F21811"/>
    <w:rsid w:val="289D4CF9"/>
    <w:rsid w:val="2B103B0C"/>
    <w:rsid w:val="2C3E4560"/>
    <w:rsid w:val="32502994"/>
    <w:rsid w:val="33AA239A"/>
    <w:rsid w:val="34AA5B44"/>
    <w:rsid w:val="352C050A"/>
    <w:rsid w:val="38A70712"/>
    <w:rsid w:val="3B7122CD"/>
    <w:rsid w:val="3BBD07E6"/>
    <w:rsid w:val="3C517D9E"/>
    <w:rsid w:val="3F274724"/>
    <w:rsid w:val="46C26F12"/>
    <w:rsid w:val="480E119D"/>
    <w:rsid w:val="4AB16591"/>
    <w:rsid w:val="4E9F1585"/>
    <w:rsid w:val="50A57ECB"/>
    <w:rsid w:val="520F3F95"/>
    <w:rsid w:val="57C6466B"/>
    <w:rsid w:val="5BC273FE"/>
    <w:rsid w:val="5D244EC5"/>
    <w:rsid w:val="5EA208B1"/>
    <w:rsid w:val="5EC47F91"/>
    <w:rsid w:val="6D76317E"/>
    <w:rsid w:val="6EA80997"/>
    <w:rsid w:val="6FC35AA2"/>
    <w:rsid w:val="709878FE"/>
    <w:rsid w:val="75121295"/>
    <w:rsid w:val="779A57A2"/>
    <w:rsid w:val="7D811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6"/>
    <w:qFormat/>
    <w:uiPriority w:val="0"/>
    <w:pPr>
      <w:tabs>
        <w:tab w:val="center" w:pos="4153"/>
        <w:tab w:val="right" w:pos="8306"/>
      </w:tabs>
      <w:snapToGrid w:val="0"/>
      <w:jc w:val="left"/>
    </w:pPr>
    <w:rPr>
      <w:sz w:val="18"/>
      <w:szCs w:val="18"/>
    </w:rPr>
  </w:style>
  <w:style w:type="paragraph" w:styleId="3">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styleId="6">
    <w:name w:val="FollowedHyperlink"/>
    <w:basedOn w:val="5"/>
    <w:qFormat/>
    <w:uiPriority w:val="0"/>
    <w:rPr>
      <w:color w:val="000000"/>
      <w:sz w:val="18"/>
      <w:szCs w:val="18"/>
      <w:u w:val="none"/>
    </w:rPr>
  </w:style>
  <w:style w:type="character" w:styleId="7">
    <w:name w:val="Hyperlink"/>
    <w:basedOn w:val="5"/>
    <w:qFormat/>
    <w:uiPriority w:val="0"/>
    <w:rPr>
      <w:color w:val="000000"/>
      <w:sz w:val="18"/>
      <w:szCs w:val="18"/>
      <w:u w:val="none"/>
    </w:rPr>
  </w:style>
  <w:style w:type="character" w:customStyle="1" w:styleId="8">
    <w:name w:val="bds_nopic"/>
    <w:basedOn w:val="5"/>
    <w:qFormat/>
    <w:uiPriority w:val="0"/>
  </w:style>
  <w:style w:type="character" w:customStyle="1" w:styleId="9">
    <w:name w:val="bds_nopic1"/>
    <w:basedOn w:val="5"/>
    <w:qFormat/>
    <w:uiPriority w:val="0"/>
  </w:style>
  <w:style w:type="character" w:customStyle="1" w:styleId="10">
    <w:name w:val="bds_nopic2"/>
    <w:basedOn w:val="5"/>
    <w:qFormat/>
    <w:uiPriority w:val="0"/>
    <w:rPr>
      <w:color w:val="000000"/>
      <w:sz w:val="18"/>
      <w:szCs w:val="18"/>
      <w:u w:val="none"/>
    </w:rPr>
  </w:style>
  <w:style w:type="character" w:customStyle="1" w:styleId="11">
    <w:name w:val="bds_more"/>
    <w:basedOn w:val="5"/>
    <w:qFormat/>
    <w:uiPriority w:val="0"/>
  </w:style>
  <w:style w:type="character" w:customStyle="1" w:styleId="12">
    <w:name w:val="bds_more1"/>
    <w:basedOn w:val="5"/>
    <w:qFormat/>
    <w:uiPriority w:val="0"/>
    <w:rPr>
      <w:rFonts w:hint="eastAsia" w:ascii="宋体" w:hAnsi="宋体" w:eastAsia="宋体" w:cs="宋体"/>
    </w:rPr>
  </w:style>
  <w:style w:type="character" w:customStyle="1" w:styleId="13">
    <w:name w:val="bds_more2"/>
    <w:basedOn w:val="5"/>
    <w:qFormat/>
    <w:uiPriority w:val="0"/>
  </w:style>
  <w:style w:type="paragraph" w:customStyle="1" w:styleId="14">
    <w:name w:val="Default"/>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 w:type="character" w:customStyle="1" w:styleId="15">
    <w:name w:val="页眉 Char"/>
    <w:basedOn w:val="5"/>
    <w:link w:val="3"/>
    <w:qFormat/>
    <w:uiPriority w:val="0"/>
    <w:rPr>
      <w:rFonts w:asciiTheme="minorHAnsi" w:hAnsiTheme="minorHAnsi" w:cstheme="minorBidi"/>
      <w:kern w:val="2"/>
      <w:sz w:val="18"/>
      <w:szCs w:val="18"/>
    </w:rPr>
  </w:style>
  <w:style w:type="character" w:customStyle="1" w:styleId="16">
    <w:name w:val="页脚 Char"/>
    <w:basedOn w:val="5"/>
    <w:link w:val="2"/>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ICOS</Company>
  <Pages>7</Pages>
  <Words>343</Words>
  <Characters>1956</Characters>
  <Lines>16</Lines>
  <Paragraphs>4</Paragraphs>
  <TotalTime>43</TotalTime>
  <ScaleCrop>false</ScaleCrop>
  <LinksUpToDate>false</LinksUpToDate>
  <CharactersWithSpaces>2295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2020-12-21T06:27:00Z</dcterms:created>
  <dc:creator>Administrator</dc:creator>
  <cp:lastModifiedBy>九日</cp:lastModifiedBy>
  <dcterms:modified xsi:type="dcterms:W3CDTF">2020-12-30T02:37:07Z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