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 w:eastAsia="仿宋_GB2312" w:cs="仿宋"/>
          <w:sz w:val="32"/>
          <w:szCs w:val="32"/>
        </w:rPr>
      </w:pPr>
      <w:permStart w:id="0" w:edGrp="everyone"/>
      <w:permEnd w:id="0"/>
      <w:r>
        <w:rPr>
          <w:rFonts w:hint="eastAsia" w:ascii="仿宋_GB2312" w:hAnsi="仿宋" w:eastAsia="仿宋_GB2312" w:cs="仿宋"/>
          <w:sz w:val="32"/>
          <w:szCs w:val="32"/>
        </w:rPr>
        <w:t>附件</w:t>
      </w:r>
      <w:r>
        <w:rPr>
          <w:rFonts w:hint="eastAsia" w:ascii="仿宋_GB2312" w:hAnsi="宋体" w:eastAsia="仿宋_GB2312" w:cs="仿宋"/>
          <w:sz w:val="32"/>
          <w:szCs w:val="32"/>
        </w:rPr>
        <w:t>6：</w:t>
      </w:r>
    </w:p>
    <w:p>
      <w:pPr>
        <w:keepNext w:val="0"/>
        <w:keepLines w:val="0"/>
        <w:pageBreakBefore w:val="0"/>
        <w:widowControl w:val="0"/>
        <w:kinsoku/>
        <w:wordWrap/>
        <w:overflowPunct/>
        <w:topLinePunct w:val="0"/>
        <w:autoSpaceDE/>
        <w:autoSpaceDN/>
        <w:bidi w:val="0"/>
        <w:adjustRightInd/>
        <w:snapToGrid/>
        <w:spacing w:line="760" w:lineRule="exact"/>
        <w:ind w:firstLine="880" w:firstLineChars="200"/>
        <w:jc w:val="center"/>
        <w:textAlignment w:val="auto"/>
        <w:rPr>
          <w:rFonts w:ascii="方正小标宋简体" w:hAnsi="黑体" w:eastAsia="方正小标宋简体" w:cs="黑体"/>
          <w:sz w:val="44"/>
          <w:szCs w:val="44"/>
        </w:rPr>
      </w:pPr>
      <w:r>
        <w:rPr>
          <w:rFonts w:hint="eastAsia" w:ascii="方正小标宋简体" w:hAnsi="黑体" w:eastAsia="方正小标宋简体" w:cs="黑体"/>
          <w:sz w:val="44"/>
          <w:szCs w:val="44"/>
        </w:rPr>
        <w:t>2020年台山市中小学教师职称申报评审材料清单及报送要求</w:t>
      </w:r>
    </w:p>
    <w:p>
      <w:pPr>
        <w:ind w:firstLine="720" w:firstLineChars="200"/>
        <w:jc w:val="center"/>
        <w:rPr>
          <w:rFonts w:ascii="方正小标宋简体" w:hAnsi="黑体" w:eastAsia="方正小标宋简体" w:cs="黑体"/>
          <w:sz w:val="36"/>
          <w:szCs w:val="36"/>
        </w:rPr>
      </w:pPr>
    </w:p>
    <w:p>
      <w:pPr>
        <w:keepNext w:val="0"/>
        <w:keepLines w:val="0"/>
        <w:pageBreakBefore w:val="0"/>
        <w:widowControl w:val="0"/>
        <w:kinsoku/>
        <w:wordWrap/>
        <w:overflowPunct/>
        <w:topLinePunct w:val="0"/>
        <w:autoSpaceDE/>
        <w:autoSpaceDN/>
        <w:bidi w:val="0"/>
        <w:adjustRightInd/>
        <w:spacing w:line="540" w:lineRule="exact"/>
        <w:ind w:firstLine="720" w:firstLineChars="200"/>
        <w:textAlignment w:val="auto"/>
        <w:rPr>
          <w:rFonts w:ascii="黑体" w:hAnsi="黑体" w:eastAsia="黑体" w:cs="Times New Roman"/>
          <w:sz w:val="36"/>
          <w:szCs w:val="36"/>
        </w:rPr>
      </w:pPr>
      <w:r>
        <w:rPr>
          <w:rFonts w:hint="eastAsia" w:ascii="黑体" w:hAnsi="黑体" w:eastAsia="黑体" w:cs="Times New Roman"/>
          <w:sz w:val="36"/>
          <w:szCs w:val="36"/>
        </w:rPr>
        <w:t>一、纸质材料报送要求</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1.</w:t>
      </w:r>
      <w:r>
        <w:rPr>
          <w:rFonts w:hint="eastAsia" w:ascii="Times New Roman" w:hAnsi="Times New Roman" w:eastAsia="仿宋_GB2312" w:cs="仿宋_GB2312"/>
          <w:b/>
          <w:bCs/>
          <w:sz w:val="32"/>
          <w:szCs w:val="32"/>
        </w:rPr>
        <w:t>基本材料：</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仿宋_GB2312"/>
          <w:b/>
          <w:sz w:val="32"/>
          <w:szCs w:val="32"/>
        </w:rPr>
        <w:t>《广东省教师专业技术资格送审材料目录表》</w:t>
      </w:r>
      <w:r>
        <w:rPr>
          <w:rFonts w:hint="eastAsia" w:ascii="Times New Roman" w:hAnsi="Times New Roman" w:eastAsia="仿宋_GB2312" w:cs="仿宋_GB2312"/>
          <w:sz w:val="32"/>
          <w:szCs w:val="32"/>
        </w:rPr>
        <w:t>（该表贴申报人材料袋封面上，提交2袋以上材料的，每袋材料封面均需贴上目录表）</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（2）</w:t>
      </w:r>
      <w:r>
        <w:rPr>
          <w:rFonts w:hint="eastAsia" w:ascii="Times New Roman" w:hAnsi="Times New Roman" w:eastAsia="仿宋_GB2312" w:cs="仿宋_GB2312"/>
          <w:b/>
          <w:sz w:val="32"/>
          <w:szCs w:val="32"/>
        </w:rPr>
        <w:t>《广东省中小学教师职称评审申报表》</w:t>
      </w:r>
      <w:r>
        <w:rPr>
          <w:rFonts w:hint="eastAsia" w:ascii="Times New Roman" w:hAnsi="Times New Roman" w:eastAsia="仿宋_GB2312" w:cs="仿宋_GB2312"/>
          <w:sz w:val="32"/>
          <w:szCs w:val="32"/>
        </w:rPr>
        <w:t>（统一用</w:t>
      </w:r>
      <w:r>
        <w:rPr>
          <w:rFonts w:ascii="Times New Roman" w:hAnsi="Times New Roman" w:eastAsia="仿宋_GB2312" w:cs="Times New Roman"/>
          <w:sz w:val="32"/>
          <w:szCs w:val="32"/>
        </w:rPr>
        <w:t>A4</w:t>
      </w:r>
      <w:r>
        <w:rPr>
          <w:rFonts w:hint="eastAsia" w:ascii="Times New Roman" w:hAnsi="Times New Roman" w:eastAsia="仿宋_GB2312" w:cs="仿宋_GB2312"/>
          <w:sz w:val="32"/>
          <w:szCs w:val="32"/>
        </w:rPr>
        <w:t>双面打印，不能复印或剪贴，不可随意改动申报表原有的格式，如内容较多，可酌加附页。统一订书机装订，</w:t>
      </w:r>
      <w:r>
        <w:rPr>
          <w:rFonts w:hint="eastAsia" w:ascii="Times New Roman" w:hAnsi="Times New Roman" w:eastAsia="仿宋_GB2312" w:cs="仿宋_GB2312"/>
          <w:b/>
          <w:sz w:val="32"/>
          <w:szCs w:val="32"/>
          <w:u w:val="single"/>
        </w:rPr>
        <w:t>不允许自行增加封皮纸或塑料封套</w:t>
      </w:r>
      <w:r>
        <w:rPr>
          <w:rFonts w:hint="eastAsia" w:ascii="Times New Roman" w:hAnsi="Times New Roman"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（3）</w:t>
      </w:r>
      <w:r>
        <w:rPr>
          <w:rFonts w:hint="eastAsia" w:ascii="Times New Roman" w:hAnsi="Times New Roman" w:eastAsia="仿宋_GB2312" w:cs="仿宋_GB2312"/>
          <w:b/>
          <w:sz w:val="32"/>
          <w:szCs w:val="32"/>
        </w:rPr>
        <w:t>《广东省中小学教师职称评审推荐表》</w:t>
      </w:r>
      <w:r>
        <w:rPr>
          <w:rFonts w:hint="eastAsia" w:ascii="Times New Roman" w:hAnsi="Times New Roman" w:eastAsia="仿宋_GB2312" w:cs="仿宋_GB2312"/>
          <w:sz w:val="32"/>
          <w:szCs w:val="32"/>
        </w:rPr>
        <w:t>（《推荐表》中“编号”由教育局统一编定</w:t>
      </w:r>
      <w:r>
        <w:rPr>
          <w:rFonts w:hint="eastAsia" w:ascii="Times New Roman" w:hAnsi="Times New Roman" w:eastAsia="仿宋_GB2312" w:cs="仿宋_GB2312"/>
          <w:sz w:val="32"/>
          <w:szCs w:val="32"/>
          <w:lang w:eastAsia="zh-CN"/>
        </w:rPr>
        <w:t>（申报人不用填写编号）</w:t>
      </w:r>
      <w:r>
        <w:rPr>
          <w:rFonts w:hint="eastAsia" w:ascii="Times New Roman" w:hAnsi="Times New Roman" w:eastAsia="仿宋_GB2312" w:cs="仿宋_GB2312"/>
          <w:sz w:val="32"/>
          <w:szCs w:val="32"/>
        </w:rPr>
        <w:t>，与《名册表》编号保持一致,</w:t>
      </w:r>
      <w:r>
        <w:rPr>
          <w:rFonts w:hint="eastAsia" w:ascii="Times New Roman" w:hAnsi="Times New Roman" w:eastAsia="仿宋_GB2312" w:cs="仿宋_GB2312"/>
          <w:b/>
          <w:sz w:val="32"/>
          <w:szCs w:val="32"/>
        </w:rPr>
        <w:t>统一按“市区+级别+学段+学科+编号”的格式填写</w:t>
      </w:r>
      <w:r>
        <w:rPr>
          <w:rFonts w:hint="eastAsia" w:ascii="Times New Roman" w:hAnsi="Times New Roman" w:eastAsia="仿宋_GB2312" w:cs="仿宋_GB2312"/>
          <w:sz w:val="32"/>
          <w:szCs w:val="32"/>
        </w:rPr>
        <w:t>，如“台山市高级高中语文10”。《推荐表》须用</w:t>
      </w:r>
      <w:r>
        <w:rPr>
          <w:rFonts w:ascii="Times New Roman" w:hAnsi="Times New Roman" w:eastAsia="仿宋_GB2312" w:cs="Times New Roman"/>
          <w:sz w:val="32"/>
          <w:szCs w:val="32"/>
        </w:rPr>
        <w:t>A3</w:t>
      </w:r>
      <w:r>
        <w:rPr>
          <w:rFonts w:hint="eastAsia" w:ascii="Times New Roman" w:hAnsi="Times New Roman" w:eastAsia="仿宋_GB2312" w:cs="仿宋_GB2312"/>
          <w:sz w:val="32"/>
          <w:szCs w:val="32"/>
        </w:rPr>
        <w:t>纸单面打印，共16份，其中</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份为原件，15份为复印件。原件放个人材料袋内，复印件由教育局收集，将《推荐表》按</w:t>
      </w:r>
      <w:r>
        <w:rPr>
          <w:rFonts w:hint="eastAsia" w:ascii="仿宋_GB2312" w:hAnsi="Times New Roman" w:eastAsia="仿宋_GB2312" w:cs="仿宋_GB2312"/>
          <w:bCs/>
          <w:sz w:val="32"/>
          <w:szCs w:val="32"/>
        </w:rPr>
        <w:t>附件7中的</w:t>
      </w:r>
      <w:r>
        <w:rPr>
          <w:rFonts w:hint="eastAsia" w:ascii="仿宋_GB2312" w:hAnsi="Times New Roman" w:eastAsia="仿宋_GB2312" w:cs="仿宋_GB2312"/>
          <w:bCs/>
          <w:sz w:val="32"/>
          <w:szCs w:val="32"/>
          <w:lang w:val="en-US" w:eastAsia="zh-CN"/>
        </w:rPr>
        <w:t>8</w:t>
      </w:r>
      <w:r>
        <w:rPr>
          <w:rFonts w:hint="eastAsia" w:ascii="仿宋_GB2312" w:hAnsi="Times New Roman" w:eastAsia="仿宋_GB2312" w:cs="仿宋_GB2312"/>
          <w:bCs/>
          <w:sz w:val="32"/>
          <w:szCs w:val="32"/>
        </w:rPr>
        <w:t>-2</w:t>
      </w:r>
      <w:r>
        <w:rPr>
          <w:rFonts w:hint="eastAsia" w:ascii="Times New Roman" w:hAnsi="Times New Roman" w:eastAsia="仿宋_GB2312" w:cs="仿宋_GB2312"/>
          <w:sz w:val="32"/>
          <w:szCs w:val="32"/>
        </w:rPr>
        <w:t>《专业分类表》分专业整理，并按申报人编号顺序排列装订，每专业一式15份）</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仿宋_GB2312"/>
          <w:b/>
          <w:bCs/>
          <w:sz w:val="32"/>
          <w:szCs w:val="32"/>
        </w:rPr>
      </w:pPr>
      <w:r>
        <w:rPr>
          <w:rFonts w:hint="eastAsia" w:ascii="Times New Roman" w:hAnsi="Times New Roman" w:eastAsia="仿宋_GB2312" w:cs="仿宋_GB2312"/>
          <w:sz w:val="32"/>
          <w:szCs w:val="32"/>
        </w:rPr>
        <w:t>（4）《</w:t>
      </w:r>
      <w:r>
        <w:rPr>
          <w:rFonts w:hint="eastAsia" w:ascii="Times New Roman" w:hAnsi="Times New Roman" w:eastAsia="仿宋_GB2312" w:cs="仿宋_GB2312"/>
          <w:b/>
          <w:sz w:val="32"/>
          <w:szCs w:val="32"/>
        </w:rPr>
        <w:t>广东省专业技术人员申报专业技术资格评前公示情况表</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此表由</w:t>
      </w:r>
      <w:r>
        <w:rPr>
          <w:rFonts w:hint="eastAsia" w:ascii="Times New Roman" w:hAnsi="Times New Roman" w:eastAsia="仿宋_GB2312" w:cs="Times New Roman"/>
          <w:sz w:val="32"/>
          <w:szCs w:val="32"/>
        </w:rPr>
        <w:t>申报人所在单位或单位纪检、监察部门负责填写（A4规格）并加盖公章，放个人材料袋内</w:t>
      </w:r>
      <w:r>
        <w:rPr>
          <w:rFonts w:hint="eastAsia" w:ascii="Times New Roman" w:hAnsi="Times New Roman" w:eastAsia="仿宋_GB2312" w:cs="仿宋_GB2312"/>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（5）</w:t>
      </w:r>
      <w:r>
        <w:rPr>
          <w:rFonts w:hint="eastAsia" w:ascii="Times New Roman" w:hAnsi="Times New Roman" w:eastAsia="仿宋_GB2312" w:cs="仿宋_GB2312"/>
          <w:b/>
          <w:sz w:val="32"/>
          <w:szCs w:val="32"/>
        </w:rPr>
        <w:t>《述职报告》</w:t>
      </w:r>
      <w:r>
        <w:rPr>
          <w:rFonts w:hint="eastAsia" w:ascii="Times New Roman" w:hAnsi="Times New Roman" w:eastAsia="仿宋_GB2312" w:cs="仿宋_GB2312"/>
          <w:sz w:val="32"/>
          <w:szCs w:val="32"/>
        </w:rPr>
        <w:t>总</w:t>
      </w:r>
      <w:r>
        <w:rPr>
          <w:rFonts w:ascii="Times New Roman" w:hAnsi="Times New Roman" w:eastAsia="仿宋_GB2312" w:cs="Times New Roman"/>
          <w:sz w:val="32"/>
        </w:rPr>
        <w:t>结本人</w:t>
      </w:r>
      <w:r>
        <w:rPr>
          <w:rFonts w:hint="eastAsia" w:ascii="Times New Roman" w:hAnsi="Times New Roman" w:eastAsia="仿宋_GB2312" w:cs="Times New Roman"/>
          <w:sz w:val="32"/>
        </w:rPr>
        <w:t>任现职以来在思想政治表现、育人、课程教学、教研科研、示范引领等方面的能力及履行职责的情况、成绩。申报初级、中级不少于1000字</w:t>
      </w:r>
      <w:r>
        <w:rPr>
          <w:rFonts w:ascii="Times New Roman" w:hAnsi="Times New Roman" w:eastAsia="仿宋_GB2312" w:cs="Times New Roman"/>
          <w:sz w:val="32"/>
        </w:rPr>
        <w:t>。</w:t>
      </w:r>
    </w:p>
    <w:p>
      <w:pPr>
        <w:keepNext w:val="0"/>
        <w:keepLines w:val="0"/>
        <w:pageBreakBefore w:val="0"/>
        <w:widowControl w:val="0"/>
        <w:kinsoku/>
        <w:wordWrap/>
        <w:overflowPunct/>
        <w:topLinePunct w:val="0"/>
        <w:autoSpaceDE/>
        <w:autoSpaceDN/>
        <w:bidi w:val="0"/>
        <w:adjustRightInd/>
        <w:spacing w:line="540" w:lineRule="exact"/>
        <w:ind w:firstLine="579" w:firstLineChars="181"/>
        <w:textAlignment w:val="auto"/>
        <w:rPr>
          <w:rFonts w:ascii="Times New Roman" w:hAnsi="Times New Roman" w:eastAsia="仿宋_GB2312" w:cs="仿宋_GB2312"/>
          <w:sz w:val="32"/>
          <w:szCs w:val="32"/>
        </w:rPr>
      </w:pPr>
      <w:r>
        <w:rPr>
          <w:rFonts w:hint="eastAsia" w:ascii="Times New Roman" w:hAnsi="Times New Roman" w:eastAsia="仿宋_GB2312" w:cs="Times New Roman"/>
          <w:sz w:val="32"/>
          <w:szCs w:val="32"/>
        </w:rPr>
        <w:t>（6）</w:t>
      </w:r>
      <w:r>
        <w:rPr>
          <w:rFonts w:hint="eastAsia" w:ascii="Times New Roman" w:hAnsi="Times New Roman" w:eastAsia="仿宋_GB2312" w:cs="Times New Roman"/>
          <w:b/>
          <w:sz w:val="32"/>
          <w:szCs w:val="32"/>
        </w:rPr>
        <w:t>有关证书证明材料</w:t>
      </w:r>
      <w:r>
        <w:rPr>
          <w:rFonts w:hint="eastAsia" w:ascii="Times New Roman" w:hAnsi="Times New Roman" w:eastAsia="仿宋_GB2312" w:cs="仿宋_GB2312"/>
          <w:sz w:val="32"/>
          <w:szCs w:val="32"/>
        </w:rPr>
        <w:t>（原件或复印件，所有复印件须由审核人签名，加具“与原件一致”的意见，并盖单位公章，复印件统一使用A4纸张规格）：</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Calibri" w:hAnsi="Calibri" w:eastAsia="仿宋_GB2312" w:cs="Times New Roman"/>
          <w:sz w:val="32"/>
          <w:szCs w:val="32"/>
        </w:rPr>
      </w:pPr>
      <w:r>
        <w:rPr>
          <w:rFonts w:hint="eastAsia" w:ascii="Times New Roman" w:hAnsi="Times New Roman" w:eastAsia="仿宋_GB2312" w:cs="仿宋_GB2312"/>
          <w:sz w:val="32"/>
          <w:szCs w:val="32"/>
        </w:rPr>
        <w:t>①身份证；②教师资格证；③学历、学位证书，或学历鉴定有关材料；④专业技术资格证、聘书；⑤专业技术人员年度考核登记表</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任现职以来</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⑥社保证明或在岗在职证明；⑦继续教育</w:t>
      </w:r>
      <w:r>
        <w:rPr>
          <w:rFonts w:hint="eastAsia" w:ascii="仿宋_GB2312" w:hAnsi="仿宋_GB2312" w:eastAsia="仿宋_GB2312" w:cs="仿宋_GB2312"/>
          <w:sz w:val="32"/>
          <w:szCs w:val="32"/>
        </w:rPr>
        <w:t>合格证书</w:t>
      </w:r>
      <w:r>
        <w:rPr>
          <w:rFonts w:hint="eastAsia" w:ascii="Times New Roman" w:hAnsi="Times New Roman" w:eastAsia="仿宋_GB2312" w:cs="仿宋_GB2312"/>
          <w:sz w:val="32"/>
          <w:szCs w:val="32"/>
        </w:rPr>
        <w:t>（原件）；⑧</w:t>
      </w:r>
      <w:r>
        <w:rPr>
          <w:rFonts w:hint="eastAsia" w:ascii="仿宋_GB2312" w:hAnsi="Times New Roman" w:eastAsia="仿宋_GB2312" w:cs="仿宋_GB2312"/>
          <w:sz w:val="32"/>
          <w:szCs w:val="32"/>
        </w:rPr>
        <w:t>其他证书（获奖证书）等。</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Times New Roman" w:hAnsi="Times New Roman" w:eastAsia="仿宋_GB2312" w:cs="仿宋_GB2312"/>
          <w:sz w:val="32"/>
          <w:szCs w:val="32"/>
        </w:rPr>
      </w:pPr>
      <w:r>
        <w:rPr>
          <w:rFonts w:hint="eastAsia" w:ascii="Times New Roman" w:hAnsi="Times New Roman" w:eastAsia="仿宋_GB2312" w:cs="Times New Roman"/>
          <w:b/>
          <w:bCs/>
          <w:sz w:val="32"/>
          <w:szCs w:val="32"/>
        </w:rPr>
        <w:t>2.</w:t>
      </w:r>
      <w:r>
        <w:rPr>
          <w:rFonts w:hint="eastAsia" w:ascii="Times New Roman" w:hAnsi="Times New Roman" w:eastAsia="仿宋_GB2312" w:cs="仿宋_GB2312"/>
          <w:b/>
          <w:bCs/>
          <w:sz w:val="32"/>
          <w:szCs w:val="32"/>
        </w:rPr>
        <w:t>育人工作材料：</w:t>
      </w:r>
      <w:r>
        <w:rPr>
          <w:rFonts w:hint="eastAsia" w:ascii="Times New Roman" w:hAnsi="Times New Roman" w:eastAsia="仿宋_GB2312" w:cs="仿宋_GB2312"/>
          <w:sz w:val="32"/>
          <w:szCs w:val="32"/>
        </w:rPr>
        <w:t>班主任经历及年限证明材料，德育（班主任）荣誉称号，育人（含转化后进生）经验及成果材料总结或案例。</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仿宋_GB2312"/>
          <w:sz w:val="32"/>
          <w:szCs w:val="32"/>
        </w:rPr>
      </w:pPr>
      <w:r>
        <w:rPr>
          <w:rFonts w:hint="eastAsia" w:ascii="仿宋_GB2312" w:hAnsi="仿宋_GB2312" w:eastAsia="仿宋_GB2312" w:cs="仿宋_GB2312"/>
          <w:sz w:val="32"/>
          <w:szCs w:val="32"/>
        </w:rPr>
        <w:t>其中不作班主任工作年限要求的学科教师需由学校出具的无拒绝担任班主任的书面证明。</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3.</w:t>
      </w:r>
      <w:r>
        <w:rPr>
          <w:rFonts w:hint="eastAsia" w:ascii="Times New Roman" w:hAnsi="Times New Roman" w:eastAsia="仿宋_GB2312" w:cs="仿宋_GB2312"/>
          <w:b/>
          <w:bCs/>
          <w:sz w:val="32"/>
          <w:szCs w:val="32"/>
        </w:rPr>
        <w:t>课程教学材料</w:t>
      </w:r>
      <w:r>
        <w:rPr>
          <w:rFonts w:ascii="Times New Roman" w:hAnsi="Times New Roman" w:eastAsia="仿宋_GB2312" w:cs="Times New Roman"/>
          <w:b/>
          <w:bCs/>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仿宋_GB2312"/>
          <w:sz w:val="32"/>
          <w:szCs w:val="32"/>
        </w:rPr>
        <w:t>（1）近</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学年教学计划表或学校课程安排表等；</w:t>
      </w:r>
      <w:r>
        <w:rPr>
          <w:rFonts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仿宋_GB2312"/>
          <w:sz w:val="32"/>
          <w:szCs w:val="32"/>
        </w:rPr>
        <w:t>（2）公开课（示范教学、观摩活动等）、选修课证明；</w:t>
      </w:r>
      <w:r>
        <w:rPr>
          <w:rFonts w:hint="eastAsia" w:ascii="仿宋_GB2312" w:hAnsi="仿宋_GB2312" w:eastAsia="仿宋_GB2312" w:cs="仿宋_GB2312"/>
          <w:sz w:val="32"/>
          <w:szCs w:val="32"/>
        </w:rPr>
        <w:t>原则上哪个部门组织就由哪个部门出具证明。</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Times New Roman"/>
          <w:b/>
          <w:bCs/>
          <w:sz w:val="32"/>
          <w:szCs w:val="32"/>
        </w:rPr>
      </w:pPr>
      <w:r>
        <w:rPr>
          <w:rFonts w:hint="eastAsia" w:ascii="仿宋_GB2312" w:hAnsi="仿宋_GB2312" w:eastAsia="仿宋_GB2312" w:cs="仿宋_GB2312"/>
          <w:sz w:val="32"/>
          <w:szCs w:val="32"/>
        </w:rPr>
        <w:t>市级公开课须由市级教研部门出具证明。</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县级公开课须由县级教研部门出具证明。</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ascii="Calibri" w:hAnsi="Calibri" w:eastAsia="仿宋_GB2312" w:cs="Times New Roman"/>
          <w:sz w:val="32"/>
          <w:szCs w:val="32"/>
        </w:rPr>
      </w:pPr>
      <w:r>
        <w:rPr>
          <w:rFonts w:hint="eastAsia" w:ascii="仿宋_GB2312" w:hAnsi="仿宋_GB2312" w:eastAsia="仿宋_GB2312" w:cs="仿宋_GB2312"/>
          <w:sz w:val="32"/>
          <w:szCs w:val="32"/>
        </w:rPr>
        <w:t>校级公开课须由学校出具证明，不能将科组内公开课或研讨课当作校级公开课。</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Calibri" w:hAnsi="Calibri" w:eastAsia="仿宋_GB2312" w:cs="Times New Roman"/>
          <w:sz w:val="32"/>
          <w:szCs w:val="32"/>
        </w:rPr>
      </w:pP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）教育教学成绩证明材料；</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仿宋_GB2312"/>
          <w:sz w:val="32"/>
          <w:szCs w:val="32"/>
        </w:rPr>
        <w:t>（4）指导学生参加竞赛获奖证明材料；</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Times New Roman"/>
          <w:sz w:val="32"/>
          <w:szCs w:val="32"/>
        </w:rPr>
        <w:t>5</w:t>
      </w:r>
      <w:r>
        <w:rPr>
          <w:rFonts w:hint="eastAsia" w:ascii="Times New Roman" w:hAnsi="Times New Roman" w:eastAsia="仿宋_GB2312" w:cs="仿宋_GB2312"/>
          <w:sz w:val="32"/>
          <w:szCs w:val="32"/>
        </w:rPr>
        <w:t>）幼儿教师</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年来个人教学特色证明和工作经验材料，教学笔记和幼儿发展个案。</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4.</w:t>
      </w:r>
      <w:r>
        <w:rPr>
          <w:rFonts w:hint="eastAsia" w:ascii="Times New Roman" w:hAnsi="Times New Roman" w:eastAsia="仿宋_GB2312" w:cs="仿宋_GB2312"/>
          <w:b/>
          <w:bCs/>
          <w:sz w:val="32"/>
          <w:szCs w:val="32"/>
        </w:rPr>
        <w:t>教研科研材料</w:t>
      </w:r>
      <w:r>
        <w:rPr>
          <w:rFonts w:ascii="Times New Roman" w:hAnsi="Times New Roman" w:eastAsia="仿宋_GB2312" w:cs="Times New Roman"/>
          <w:b/>
          <w:bCs/>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Times New Roman" w:hAnsi="Times New Roman" w:eastAsia="仿宋_GB2312" w:cs="仿宋_GB2312"/>
          <w:b/>
          <w:sz w:val="32"/>
          <w:szCs w:val="32"/>
        </w:rPr>
      </w:pPr>
      <w:r>
        <w:rPr>
          <w:rFonts w:hint="eastAsia" w:ascii="Times New Roman" w:hAnsi="Times New Roman" w:eastAsia="仿宋_GB2312" w:cs="仿宋_GB2312"/>
          <w:b/>
          <w:sz w:val="32"/>
          <w:szCs w:val="32"/>
        </w:rPr>
        <w:t>（1）论文</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仿宋_GB2312" w:hAnsi="仿宋" w:eastAsia="仿宋_GB2312" w:cs="仿宋"/>
          <w:sz w:val="32"/>
          <w:szCs w:val="32"/>
        </w:rPr>
      </w:pPr>
      <w:r>
        <w:rPr>
          <w:rFonts w:hint="eastAsia" w:ascii="Times New Roman" w:hAnsi="Times New Roman" w:eastAsia="仿宋_GB2312" w:cs="仿宋_GB2312"/>
          <w:sz w:val="32"/>
          <w:szCs w:val="32"/>
        </w:rPr>
        <w:t>公开发表的论文需提供刊物原件，宣读的论文需将论文用A4纸双面打印并提供宣读证明原件，无公开发表的论文需A4双面打印。</w:t>
      </w:r>
      <w:r>
        <w:rPr>
          <w:rFonts w:hint="eastAsia" w:ascii="仿宋_GB2312" w:hAnsi="仿宋" w:eastAsia="仿宋_GB2312" w:cs="仿宋"/>
          <w:sz w:val="32"/>
          <w:szCs w:val="32"/>
        </w:rPr>
        <w:t>申报中级的，需送审1篇论文</w:t>
      </w:r>
      <w:r>
        <w:rPr>
          <w:rFonts w:hint="eastAsia" w:ascii="仿宋_GB2312" w:hAnsi="仿宋" w:eastAsia="仿宋_GB2312" w:cs="仿宋"/>
          <w:b/>
          <w:sz w:val="32"/>
          <w:szCs w:val="32"/>
        </w:rPr>
        <w:t>。</w:t>
      </w:r>
      <w:r>
        <w:rPr>
          <w:rFonts w:hint="eastAsia" w:ascii="Times New Roman" w:hAnsi="Times New Roman" w:eastAsia="仿宋_GB2312" w:cs="仿宋_GB2312"/>
          <w:b/>
          <w:sz w:val="32"/>
          <w:szCs w:val="32"/>
          <w:u w:val="single"/>
        </w:rPr>
        <w:t>公开发表的论文还需提供论文检索结果以及刊物合法性验证截图</w:t>
      </w:r>
      <w:r>
        <w:rPr>
          <w:rFonts w:hint="eastAsia" w:ascii="Times New Roman" w:hAnsi="Times New Roman" w:eastAsia="仿宋_GB2312" w:cs="仿宋_GB2312"/>
          <w:sz w:val="32"/>
          <w:szCs w:val="32"/>
        </w:rPr>
        <w:t>。截图统一粘贴在word文档中，用A4纸张打印，由审核人审核并签名，加具“与原件一致”的意见，并盖单位公章，与论文原件一并上交。</w:t>
      </w:r>
    </w:p>
    <w:p>
      <w:pPr>
        <w:keepNext w:val="0"/>
        <w:keepLines w:val="0"/>
        <w:pageBreakBefore w:val="0"/>
        <w:widowControl w:val="0"/>
        <w:kinsoku/>
        <w:wordWrap/>
        <w:overflowPunct/>
        <w:topLinePunct w:val="0"/>
        <w:autoSpaceDE/>
        <w:autoSpaceDN/>
        <w:bidi w:val="0"/>
        <w:adjustRightInd/>
        <w:spacing w:line="540" w:lineRule="exact"/>
        <w:ind w:firstLine="643" w:firstLineChars="200"/>
        <w:textAlignment w:val="auto"/>
        <w:rPr>
          <w:rFonts w:ascii="仿宋_GB2312" w:hAnsi="Calibri" w:eastAsia="仿宋_GB2312" w:cs="Calibri"/>
          <w:sz w:val="32"/>
          <w:szCs w:val="32"/>
        </w:rPr>
      </w:pPr>
      <w:r>
        <w:rPr>
          <w:rFonts w:hint="eastAsia" w:ascii="仿宋_GB2312" w:hAnsi="Calibri" w:eastAsia="仿宋_GB2312" w:cs="Calibri"/>
          <w:b/>
          <w:sz w:val="32"/>
          <w:szCs w:val="32"/>
        </w:rPr>
        <w:t>说明：</w:t>
      </w:r>
      <w:r>
        <w:rPr>
          <w:rFonts w:hint="eastAsia" w:ascii="仿宋_GB2312" w:hAnsi="Calibri" w:eastAsia="仿宋_GB2312" w:cs="Calibri"/>
          <w:sz w:val="32"/>
          <w:szCs w:val="32"/>
        </w:rPr>
        <w:t>公开发表在具有CN刊号、ISSN刊号的专业期刊上的论文须在主流数据库进行检索（常用主流数据库如中国知网、万方数据等），并提供论文检索页面截图（包含网站、刊物名称、论文标题、作者姓名及排名、期刊刊号等信息的清晰截图）并附上网址。刊物须在国家新闻出版署网站进行合法性查询(国家新闻出版署</w:t>
      </w:r>
      <w:r>
        <w:rPr>
          <w:rFonts w:ascii="仿宋_GB2312" w:hAnsi="Calibri" w:eastAsia="仿宋_GB2312" w:cs="Calibri"/>
          <w:sz w:val="32"/>
          <w:szCs w:val="32"/>
        </w:rPr>
        <w:t>http://www.nppa.gov.cn/</w:t>
      </w:r>
      <w:r>
        <w:rPr>
          <w:rFonts w:hint="eastAsia" w:ascii="仿宋_GB2312" w:hAnsi="Calibri" w:eastAsia="仿宋_GB2312" w:cs="Calibri"/>
          <w:sz w:val="32"/>
          <w:szCs w:val="32"/>
        </w:rPr>
        <w:t>-从业机构和产品查询-期刊/期刊社查询-输入“媒体名称”和“验证码”-查询-查看详细)，提供刊物的查询截图。</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仿宋_GB2312" w:hAnsi="Calibri" w:eastAsia="仿宋_GB2312" w:cs="Calibri"/>
          <w:sz w:val="32"/>
          <w:szCs w:val="32"/>
        </w:rPr>
      </w:pPr>
      <w:r>
        <w:rPr>
          <w:rFonts w:hint="eastAsia" w:ascii="仿宋_GB2312" w:hAnsi="仿宋" w:eastAsia="仿宋_GB2312" w:cs="仿宋"/>
          <w:sz w:val="32"/>
          <w:szCs w:val="32"/>
          <w:u w:val="single"/>
        </w:rPr>
        <w:t>以下为论文</w:t>
      </w:r>
      <w:r>
        <w:rPr>
          <w:rFonts w:hint="eastAsia" w:ascii="Times New Roman" w:hAnsi="Times New Roman" w:eastAsia="仿宋_GB2312" w:cs="仿宋_GB2312"/>
          <w:sz w:val="32"/>
          <w:szCs w:val="32"/>
          <w:u w:val="single"/>
        </w:rPr>
        <w:t>检索结果以及刊物合法性验证截图模板</w:t>
      </w:r>
      <w:r>
        <w:rPr>
          <w:rFonts w:hint="eastAsia" w:ascii="Times New Roman" w:hAnsi="Times New Roman" w:eastAsia="仿宋_GB2312" w:cs="仿宋_GB2312"/>
          <w:sz w:val="32"/>
          <w:szCs w:val="32"/>
        </w:rPr>
        <w:t>：</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仿宋_GB2312" w:hAnsi="Calibri" w:eastAsia="仿宋_GB2312" w:cs="Calibri"/>
          <w:sz w:val="32"/>
          <w:szCs w:val="32"/>
        </w:rPr>
      </w:pPr>
      <w:r>
        <w:rPr>
          <w:rFonts w:hint="eastAsia" w:ascii="仿宋_GB2312" w:hAnsi="宋体" w:eastAsia="仿宋_GB2312" w:cs="仿宋_GB2312"/>
          <w:sz w:val="32"/>
          <w:szCs w:val="32"/>
        </w:rPr>
        <w:t>--以台山市第一中学张香兰老师</w:t>
      </w:r>
      <w:r>
        <w:rPr>
          <w:rFonts w:hint="eastAsia" w:ascii="仿宋_GB2312" w:hAnsi="Times New Roman" w:eastAsia="仿宋_GB2312" w:cs="仿宋_GB2312"/>
          <w:sz w:val="32"/>
          <w:szCs w:val="32"/>
        </w:rPr>
        <w:t>《高中英语导学案分层教学探究》论文为例:</w:t>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本人论文《高中英语导学案分层教学探究》检索结果以及刊物合法性验证截图。</w:t>
      </w:r>
    </w:p>
    <w:p>
      <w:pPr>
        <w:keepNext w:val="0"/>
        <w:keepLines w:val="0"/>
        <w:pageBreakBefore w:val="0"/>
        <w:widowControl w:val="0"/>
        <w:kinsoku/>
        <w:wordWrap/>
        <w:overflowPunct/>
        <w:topLinePunct w:val="0"/>
        <w:autoSpaceDE/>
        <w:autoSpaceDN/>
        <w:bidi w:val="0"/>
        <w:adjustRightInd/>
        <w:spacing w:line="540" w:lineRule="exact"/>
        <w:ind w:firstLine="640" w:firstLineChars="200"/>
        <w:jc w:val="lef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论文查询网址</w:t>
      </w:r>
      <w:r>
        <w:fldChar w:fldCharType="begin"/>
      </w:r>
      <w:r>
        <w:instrText xml:space="preserve"> HYPERLINK "http://www.wanfangdata.com.cn/index.html" </w:instrText>
      </w:r>
      <w:r>
        <w:fldChar w:fldCharType="separate"/>
      </w:r>
      <w:r>
        <w:rPr>
          <w:rFonts w:ascii="Times New Roman" w:hAnsi="Times New Roman" w:eastAsia="仿宋_GB2312" w:cs="仿宋_GB2312"/>
          <w:sz w:val="32"/>
          <w:u w:val="single"/>
        </w:rPr>
        <w:t>http://www.wanfangdata.com.cn/index.html</w:t>
      </w:r>
      <w:r>
        <w:rPr>
          <w:rFonts w:ascii="Times New Roman" w:hAnsi="Times New Roman" w:eastAsia="仿宋_GB2312" w:cs="仿宋_GB2312"/>
          <w:sz w:val="32"/>
          <w:u w:val="single"/>
        </w:rPr>
        <w:fldChar w:fldCharType="end"/>
      </w:r>
    </w:p>
    <w:p>
      <w:pPr>
        <w:keepNext w:val="0"/>
        <w:keepLines w:val="0"/>
        <w:pageBreakBefore w:val="0"/>
        <w:widowControl w:val="0"/>
        <w:kinsoku/>
        <w:wordWrap/>
        <w:overflowPunct/>
        <w:topLinePunct w:val="0"/>
        <w:autoSpaceDE/>
        <w:autoSpaceDN/>
        <w:bidi w:val="0"/>
        <w:adjustRightInd/>
        <w:spacing w:line="540" w:lineRule="exact"/>
        <w:ind w:firstLine="640" w:firstLineChars="200"/>
        <w:textAlignment w:val="auto"/>
        <w:rPr>
          <w:rFonts w:ascii="仿宋_GB2312" w:hAnsi="Calibri" w:eastAsia="仿宋_GB2312" w:cs="Calibri"/>
          <w:sz w:val="32"/>
          <w:szCs w:val="32"/>
        </w:rPr>
      </w:pPr>
      <w:r>
        <w:rPr>
          <w:rFonts w:hint="eastAsia" w:ascii="Times New Roman" w:hAnsi="Times New Roman" w:eastAsia="仿宋_GB2312" w:cs="仿宋_GB2312"/>
          <w:sz w:val="32"/>
          <w:szCs w:val="32"/>
        </w:rPr>
        <w:t>刊物查询网址</w:t>
      </w:r>
      <w:r>
        <w:fldChar w:fldCharType="begin"/>
      </w:r>
      <w:r>
        <w:instrText xml:space="preserve">HYPERLINK "http://www.nppa.gov.cn/"</w:instrText>
      </w:r>
      <w:r>
        <w:fldChar w:fldCharType="separate"/>
      </w:r>
      <w:r>
        <w:rPr>
          <w:rFonts w:ascii="仿宋_GB2312" w:hAnsi="Calibri" w:eastAsia="仿宋_GB2312" w:cs="Calibri"/>
          <w:sz w:val="32"/>
          <w:szCs w:val="32"/>
          <w:u w:val="single"/>
        </w:rPr>
        <w:t>http://www.nppa.gov.cn/</w:t>
      </w:r>
      <w:r>
        <w:fldChar w:fldCharType="end"/>
      </w:r>
    </w:p>
    <w:p>
      <w:pPr>
        <w:spacing w:line="580" w:lineRule="exact"/>
        <w:rPr>
          <w:rFonts w:ascii="Times New Roman" w:hAnsi="Times New Roman" w:eastAsia="仿宋_GB2312" w:cs="仿宋_GB2312"/>
          <w:b/>
          <w:sz w:val="32"/>
          <w:szCs w:val="32"/>
        </w:rPr>
      </w:pPr>
      <w:r>
        <w:rPr>
          <w:rFonts w:ascii="Times New Roman" w:hAnsi="Times New Roman" w:eastAsia="仿宋_GB2312" w:cs="仿宋_GB2312"/>
          <w:b/>
          <w:sz w:val="32"/>
          <w:szCs w:val="32"/>
        </w:rPr>
        <w:drawing>
          <wp:anchor distT="0" distB="0" distL="114300" distR="114300" simplePos="0" relativeHeight="251667456" behindDoc="0" locked="0" layoutInCell="1" allowOverlap="1">
            <wp:simplePos x="0" y="0"/>
            <wp:positionH relativeFrom="column">
              <wp:posOffset>228600</wp:posOffset>
            </wp:positionH>
            <wp:positionV relativeFrom="paragraph">
              <wp:posOffset>4305300</wp:posOffset>
            </wp:positionV>
            <wp:extent cx="5084445" cy="3894455"/>
            <wp:effectExtent l="0" t="0" r="1905" b="10795"/>
            <wp:wrapTopAndBottom/>
            <wp:docPr id="25" name="图片 25" descr="C:\Users\Administrator\AppData\Roaming\Tencent\Users\604578473\QQ\WinTemp\RichOle\OGST5$B1ONJK(@()OH~B{]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Administrator\AppData\Roaming\Tencent\Users\604578473\QQ\WinTemp\RichOle\OGST5$B1ONJK(@()OH~B{]Q.png"/>
                    <pic:cNvPicPr>
                      <a:picLocks noChangeAspect="1" noChangeArrowheads="1"/>
                    </pic:cNvPicPr>
                  </pic:nvPicPr>
                  <pic:blipFill>
                    <a:blip r:embed="rId5" r:link="rId6" cstate="print"/>
                    <a:srcRect/>
                    <a:stretch>
                      <a:fillRect/>
                    </a:stretch>
                  </pic:blipFill>
                  <pic:spPr>
                    <a:xfrm>
                      <a:off x="0" y="0"/>
                      <a:ext cx="5084445" cy="3894455"/>
                    </a:xfrm>
                    <a:prstGeom prst="rect">
                      <a:avLst/>
                    </a:prstGeom>
                    <a:noFill/>
                    <a:ln w="9525">
                      <a:noFill/>
                      <a:miter lim="800000"/>
                      <a:headEnd/>
                      <a:tailEnd/>
                    </a:ln>
                  </pic:spPr>
                </pic:pic>
              </a:graphicData>
            </a:graphic>
          </wp:anchor>
        </w:drawing>
      </w:r>
      <w:r>
        <w:rPr>
          <w:rFonts w:ascii="Times New Roman" w:hAnsi="Times New Roman" w:eastAsia="仿宋_GB2312" w:cs="仿宋_GB2312"/>
          <w:b/>
          <w:sz w:val="32"/>
          <w:szCs w:val="32"/>
        </w:rPr>
        <w:drawing>
          <wp:anchor distT="0" distB="0" distL="114300" distR="114300" simplePos="0" relativeHeight="251674624" behindDoc="1" locked="0" layoutInCell="1" allowOverlap="1">
            <wp:simplePos x="0" y="0"/>
            <wp:positionH relativeFrom="column">
              <wp:posOffset>0</wp:posOffset>
            </wp:positionH>
            <wp:positionV relativeFrom="paragraph">
              <wp:posOffset>0</wp:posOffset>
            </wp:positionV>
            <wp:extent cx="5362575" cy="4006215"/>
            <wp:effectExtent l="19050" t="0" r="9525" b="0"/>
            <wp:wrapTight wrapText="bothSides">
              <wp:wrapPolygon>
                <wp:start x="-77" y="0"/>
                <wp:lineTo x="-77" y="21466"/>
                <wp:lineTo x="21638" y="21466"/>
                <wp:lineTo x="21638" y="0"/>
                <wp:lineTo x="-77" y="0"/>
              </wp:wrapPolygon>
            </wp:wrapTight>
            <wp:docPr id="32" name="图片 32" descr="15972866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1597286662(1)"/>
                    <pic:cNvPicPr>
                      <a:picLocks noChangeAspect="1" noChangeArrowheads="1"/>
                    </pic:cNvPicPr>
                  </pic:nvPicPr>
                  <pic:blipFill>
                    <a:blip r:embed="rId7" cstate="print"/>
                    <a:srcRect/>
                    <a:stretch>
                      <a:fillRect/>
                    </a:stretch>
                  </pic:blipFill>
                  <pic:spPr>
                    <a:xfrm>
                      <a:off x="0" y="0"/>
                      <a:ext cx="5362575" cy="4006215"/>
                    </a:xfrm>
                    <a:prstGeom prst="rect">
                      <a:avLst/>
                    </a:prstGeom>
                    <a:noFill/>
                    <a:ln w="9525">
                      <a:noFill/>
                      <a:miter lim="800000"/>
                      <a:headEnd/>
                      <a:tailEnd/>
                    </a:ln>
                  </pic:spPr>
                </pic:pic>
              </a:graphicData>
            </a:graphic>
          </wp:anchor>
        </w:drawing>
      </w:r>
    </w:p>
    <w:p>
      <w:pPr>
        <w:spacing w:line="580" w:lineRule="exact"/>
        <w:ind w:firstLine="800" w:firstLineChars="249"/>
        <w:rPr>
          <w:rFonts w:hint="eastAsia" w:ascii="Times New Roman" w:hAnsi="Times New Roman" w:eastAsia="仿宋_GB2312" w:cs="仿宋_GB2312"/>
          <w:b/>
          <w:sz w:val="32"/>
          <w:szCs w:val="32"/>
        </w:rPr>
      </w:pPr>
    </w:p>
    <w:p>
      <w:pPr>
        <w:spacing w:line="580" w:lineRule="exact"/>
        <w:ind w:firstLine="800" w:firstLineChars="249"/>
        <w:rPr>
          <w:rFonts w:hint="eastAsia" w:ascii="Times New Roman" w:hAnsi="Times New Roman" w:eastAsia="仿宋_GB2312" w:cs="仿宋_GB2312"/>
          <w:b/>
          <w:sz w:val="32"/>
          <w:szCs w:val="32"/>
        </w:rPr>
      </w:pPr>
    </w:p>
    <w:p>
      <w:pPr>
        <w:spacing w:line="580" w:lineRule="exact"/>
        <w:ind w:firstLine="800" w:firstLineChars="249"/>
        <w:rPr>
          <w:rFonts w:hint="eastAsia" w:ascii="Times New Roman" w:hAnsi="Times New Roman" w:eastAsia="仿宋_GB2312" w:cs="仿宋_GB2312"/>
          <w:b/>
          <w:sz w:val="32"/>
          <w:szCs w:val="32"/>
        </w:rPr>
      </w:pPr>
    </w:p>
    <w:p>
      <w:pPr>
        <w:spacing w:line="580" w:lineRule="exact"/>
        <w:ind w:firstLine="800" w:firstLineChars="249"/>
        <w:rPr>
          <w:rFonts w:hint="eastAsia" w:ascii="Times New Roman" w:hAnsi="Times New Roman" w:eastAsia="仿宋_GB2312" w:cs="仿宋_GB2312"/>
          <w:b/>
          <w:sz w:val="32"/>
          <w:szCs w:val="32"/>
        </w:rPr>
      </w:pPr>
    </w:p>
    <w:p>
      <w:pPr>
        <w:spacing w:line="580" w:lineRule="exact"/>
        <w:ind w:firstLine="800" w:firstLineChars="249"/>
        <w:rPr>
          <w:rFonts w:ascii="Times New Roman" w:hAnsi="Times New Roman" w:eastAsia="仿宋_GB2312" w:cs="仿宋_GB2312"/>
          <w:b/>
          <w:sz w:val="32"/>
          <w:szCs w:val="32"/>
        </w:rPr>
      </w:pPr>
      <w:r>
        <w:rPr>
          <w:rFonts w:hint="eastAsia" w:ascii="Times New Roman" w:hAnsi="Times New Roman" w:eastAsia="仿宋_GB2312" w:cs="仿宋_GB2312"/>
          <w:b/>
          <w:sz w:val="32"/>
          <w:szCs w:val="32"/>
        </w:rPr>
        <w:t>（2）课题</w:t>
      </w:r>
    </w:p>
    <w:p>
      <w:pPr>
        <w:ind w:firstLine="640" w:firstLineChars="200"/>
        <w:rPr>
          <w:rFonts w:ascii="仿宋_GB2312" w:hAnsi="仿宋_GB2312" w:eastAsia="仿宋_GB2312" w:cs="仿宋_GB2312"/>
          <w:sz w:val="32"/>
          <w:szCs w:val="32"/>
        </w:rPr>
      </w:pPr>
      <w:r>
        <w:rPr>
          <w:rFonts w:hint="eastAsia" w:ascii="仿宋_GB2312" w:hAnsi="Calibri" w:eastAsia="仿宋_GB2312" w:cs="Times New Roman"/>
          <w:sz w:val="32"/>
          <w:szCs w:val="32"/>
        </w:rPr>
        <w:t>课题研究：提供</w:t>
      </w:r>
      <w:r>
        <w:rPr>
          <w:rFonts w:hint="eastAsia" w:ascii="仿宋_GB2312" w:hAnsi="仿宋_GB2312" w:eastAsia="仿宋_GB2312" w:cs="仿宋_GB2312"/>
          <w:sz w:val="32"/>
          <w:szCs w:val="32"/>
        </w:rPr>
        <w:t>立项证明、立项书、结题证明、结题报告和研究成果等原始过程性材料。</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校本教研：提供教育教学研究方案。</w:t>
      </w:r>
    </w:p>
    <w:p>
      <w:pPr>
        <w:spacing w:line="580" w:lineRule="exact"/>
        <w:ind w:firstLine="643" w:firstLineChars="200"/>
        <w:rPr>
          <w:rFonts w:ascii="Times New Roman" w:hAnsi="Times New Roman" w:eastAsia="仿宋_GB2312" w:cs="仿宋_GB2312"/>
          <w:b/>
          <w:sz w:val="32"/>
          <w:szCs w:val="32"/>
        </w:rPr>
      </w:pPr>
      <w:r>
        <w:rPr>
          <w:rFonts w:hint="eastAsia" w:ascii="Times New Roman" w:hAnsi="Times New Roman" w:eastAsia="仿宋_GB2312" w:cs="仿宋_GB2312"/>
          <w:b/>
          <w:sz w:val="32"/>
          <w:szCs w:val="32"/>
        </w:rPr>
        <w:t>（3）著作、主编或参编教材（教参）</w:t>
      </w:r>
    </w:p>
    <w:p>
      <w:pPr>
        <w:spacing w:line="580" w:lineRule="exact"/>
        <w:ind w:firstLine="640" w:firstLineChars="200"/>
        <w:rPr>
          <w:rFonts w:ascii="Times New Roman" w:hAnsi="Times New Roman" w:eastAsia="仿宋_GB2312" w:cs="仿宋_GB2312"/>
          <w:b/>
          <w:sz w:val="32"/>
          <w:szCs w:val="32"/>
        </w:rPr>
      </w:pPr>
      <w:r>
        <w:rPr>
          <w:rFonts w:hint="eastAsia" w:ascii="Times New Roman" w:hAnsi="Times New Roman" w:eastAsia="仿宋_GB2312" w:cs="仿宋_GB2312"/>
          <w:sz w:val="32"/>
          <w:szCs w:val="32"/>
        </w:rPr>
        <w:t>正式出版的著作、</w:t>
      </w:r>
      <w:r>
        <w:rPr>
          <w:rFonts w:hint="eastAsia" w:ascii="仿宋_GB2312" w:hAnsi="Calibri" w:eastAsia="仿宋_GB2312" w:cs="Times New Roman"/>
          <w:sz w:val="32"/>
          <w:szCs w:val="32"/>
        </w:rPr>
        <w:t>本人</w:t>
      </w:r>
      <w:r>
        <w:rPr>
          <w:rFonts w:hint="eastAsia" w:ascii="Times New Roman" w:hAnsi="Times New Roman" w:eastAsia="仿宋_GB2312" w:cs="仿宋_GB2312"/>
          <w:sz w:val="32"/>
          <w:szCs w:val="32"/>
        </w:rPr>
        <w:t>主编或参编教材（教参）提供原件，并说明</w:t>
      </w:r>
      <w:r>
        <w:rPr>
          <w:rFonts w:hint="eastAsia" w:ascii="仿宋_GB2312" w:hAnsi="Calibri" w:eastAsia="仿宋_GB2312" w:cs="Times New Roman"/>
          <w:sz w:val="32"/>
          <w:szCs w:val="32"/>
        </w:rPr>
        <w:t>参与编写及书籍页数、出版时间等信息。</w:t>
      </w:r>
    </w:p>
    <w:p>
      <w:pPr>
        <w:spacing w:line="580" w:lineRule="exact"/>
        <w:ind w:firstLine="643" w:firstLineChars="200"/>
        <w:rPr>
          <w:rFonts w:ascii="Times New Roman" w:hAnsi="Times New Roman" w:eastAsia="仿宋_GB2312" w:cs="Times New Roman"/>
          <w:b/>
          <w:bCs/>
          <w:sz w:val="32"/>
          <w:szCs w:val="32"/>
        </w:rPr>
      </w:pPr>
      <w:r>
        <w:rPr>
          <w:rFonts w:hint="eastAsia" w:ascii="Times New Roman" w:hAnsi="Times New Roman" w:eastAsia="仿宋_GB2312" w:cs="仿宋_GB2312"/>
          <w:b/>
          <w:sz w:val="32"/>
          <w:szCs w:val="32"/>
        </w:rPr>
        <w:t>（4）教研成果、论文、课例等获奖证书</w:t>
      </w:r>
    </w:p>
    <w:p>
      <w:pPr>
        <w:spacing w:line="580" w:lineRule="exact"/>
        <w:ind w:firstLine="643"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5.</w:t>
      </w:r>
      <w:r>
        <w:rPr>
          <w:rFonts w:hint="eastAsia" w:ascii="Times New Roman" w:hAnsi="Times New Roman" w:eastAsia="仿宋_GB2312" w:cs="仿宋_GB2312"/>
          <w:b/>
          <w:bCs/>
          <w:sz w:val="32"/>
          <w:szCs w:val="32"/>
        </w:rPr>
        <w:t>示范引领材料：</w:t>
      </w:r>
      <w:r>
        <w:rPr>
          <w:rFonts w:hint="eastAsia" w:ascii="Times New Roman" w:hAnsi="Times New Roman" w:eastAsia="仿宋_GB2312" w:cs="仿宋_GB2312"/>
          <w:sz w:val="32"/>
          <w:szCs w:val="32"/>
        </w:rPr>
        <w:t>综合性荣誉获奖证书，培养青年教师有关材料等。</w:t>
      </w:r>
    </w:p>
    <w:p>
      <w:pPr>
        <w:spacing w:line="580" w:lineRule="exact"/>
        <w:ind w:firstLine="643" w:firstLineChars="200"/>
        <w:rPr>
          <w:rFonts w:ascii="Times New Roman" w:hAnsi="Times New Roman" w:eastAsia="仿宋_GB2312" w:cs="仿宋_GB2312"/>
          <w:b/>
          <w:bCs/>
          <w:sz w:val="32"/>
          <w:szCs w:val="32"/>
        </w:rPr>
      </w:pPr>
      <w:r>
        <w:rPr>
          <w:rFonts w:hint="eastAsia" w:ascii="Times New Roman" w:hAnsi="Times New Roman" w:eastAsia="仿宋_GB2312" w:cs="Times New Roman"/>
          <w:b/>
          <w:bCs/>
          <w:sz w:val="32"/>
          <w:szCs w:val="32"/>
        </w:rPr>
        <w:t>6.</w:t>
      </w:r>
      <w:r>
        <w:rPr>
          <w:rFonts w:hint="eastAsia" w:ascii="Times New Roman" w:hAnsi="Times New Roman" w:eastAsia="仿宋_GB2312" w:cs="仿宋_GB2312"/>
          <w:b/>
          <w:bCs/>
          <w:sz w:val="32"/>
          <w:szCs w:val="32"/>
        </w:rPr>
        <w:t>申报单位诚信承诺书</w:t>
      </w:r>
      <w:r>
        <w:rPr>
          <w:rFonts w:hint="eastAsia" w:ascii="仿宋_GB2312" w:hAnsi="Calibri" w:eastAsia="仿宋_GB2312" w:cs="Calibri"/>
          <w:sz w:val="28"/>
          <w:szCs w:val="28"/>
        </w:rPr>
        <w:t>（</w:t>
      </w:r>
      <w:r>
        <w:rPr>
          <w:rFonts w:hint="eastAsia" w:ascii="仿宋_GB2312" w:hAnsi="Calibri" w:eastAsia="仿宋_GB2312" w:cs="Calibri"/>
          <w:sz w:val="32"/>
          <w:szCs w:val="32"/>
        </w:rPr>
        <w:t>单位负责人签名并加盖公章，此表放入申报材料袋中</w:t>
      </w:r>
      <w:r>
        <w:rPr>
          <w:rFonts w:hint="eastAsia" w:ascii="仿宋_GB2312" w:hAnsi="Calibri" w:eastAsia="仿宋_GB2312" w:cs="Calibri"/>
          <w:sz w:val="28"/>
          <w:szCs w:val="28"/>
        </w:rPr>
        <w:t>）</w:t>
      </w:r>
      <w:r>
        <w:rPr>
          <w:rFonts w:hint="eastAsia" w:ascii="Times New Roman" w:hAnsi="Times New Roman" w:eastAsia="仿宋_GB2312" w:cs="仿宋_GB2312"/>
          <w:b/>
          <w:bCs/>
          <w:sz w:val="32"/>
          <w:szCs w:val="32"/>
        </w:rPr>
        <w:t>。</w:t>
      </w:r>
    </w:p>
    <w:p>
      <w:pPr>
        <w:spacing w:line="580" w:lineRule="exact"/>
        <w:ind w:firstLine="643" w:firstLineChars="20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7.</w:t>
      </w:r>
      <w:r>
        <w:rPr>
          <w:rFonts w:hint="eastAsia" w:ascii="仿宋_GB2312" w:hAnsi="仿宋_GB2312" w:eastAsia="仿宋_GB2312" w:cs="仿宋_GB2312"/>
          <w:b/>
          <w:sz w:val="32"/>
          <w:szCs w:val="32"/>
        </w:rPr>
        <w:t>说课讲课评课视频</w:t>
      </w:r>
      <w:r>
        <w:rPr>
          <w:rFonts w:ascii="仿宋_GB2312" w:hAnsi="仿宋_GB2312" w:eastAsia="仿宋_GB2312" w:cs="仿宋_GB2312"/>
          <w:b/>
          <w:sz w:val="32"/>
          <w:szCs w:val="32"/>
        </w:rPr>
        <w:t>(MP4</w:t>
      </w:r>
      <w:r>
        <w:rPr>
          <w:rFonts w:hint="eastAsia" w:ascii="仿宋_GB2312" w:hAnsi="仿宋_GB2312" w:eastAsia="仿宋_GB2312" w:cs="仿宋_GB2312"/>
          <w:b/>
          <w:sz w:val="32"/>
          <w:szCs w:val="32"/>
        </w:rPr>
        <w:t>格式</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的刻录光盘</w:t>
      </w:r>
      <w:r>
        <w:rPr>
          <w:rFonts w:hint="eastAsia" w:ascii="仿宋_GB2312" w:hAnsi="仿宋_GB2312" w:eastAsia="仿宋_GB2312" w:cs="仿宋_GB2312"/>
          <w:sz w:val="32"/>
          <w:szCs w:val="32"/>
        </w:rPr>
        <w:t>（放个人材料袋内）。</w:t>
      </w:r>
    </w:p>
    <w:p>
      <w:pPr>
        <w:spacing w:line="580" w:lineRule="exact"/>
        <w:ind w:firstLine="643" w:firstLineChars="200"/>
        <w:rPr>
          <w:rFonts w:ascii="Times New Roman" w:hAnsi="Times New Roman" w:eastAsia="仿宋_GB2312" w:cs="仿宋_GB2312"/>
          <w:b/>
          <w:bCs/>
          <w:sz w:val="32"/>
          <w:szCs w:val="32"/>
        </w:rPr>
      </w:pPr>
      <w:r>
        <w:rPr>
          <w:rFonts w:hint="eastAsia" w:ascii="Times New Roman" w:hAnsi="Times New Roman" w:eastAsia="仿宋_GB2312" w:cs="仿宋_GB2312"/>
          <w:b/>
          <w:sz w:val="32"/>
          <w:szCs w:val="32"/>
        </w:rPr>
        <w:t>8.《材料袋申报人信息标识条》</w:t>
      </w:r>
      <w:r>
        <w:rPr>
          <w:rFonts w:hint="eastAsia" w:ascii="Times New Roman" w:hAnsi="Times New Roman" w:eastAsia="仿宋_GB2312" w:cs="仿宋_GB2312"/>
          <w:sz w:val="32"/>
          <w:szCs w:val="32"/>
        </w:rPr>
        <w:t>（各申报人需要在个人申报材料袋封面目录顶部、材料袋底部分别贴上《材料袋申报人信息标识条》（详见附件7中的</w:t>
      </w: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），标识条内容为：</w:t>
      </w:r>
      <w:r>
        <w:rPr>
          <w:rFonts w:hint="eastAsia" w:ascii="Times New Roman" w:hAnsi="Times New Roman" w:eastAsia="仿宋_GB2312" w:cs="仿宋_GB2312"/>
          <w:sz w:val="32"/>
          <w:szCs w:val="32"/>
          <w:lang w:eastAsia="zh-CN"/>
        </w:rPr>
        <w:t>台山市</w:t>
      </w:r>
      <w:r>
        <w:rPr>
          <w:rFonts w:hint="eastAsia" w:ascii="Times New Roman" w:hAnsi="Times New Roman" w:eastAsia="仿宋_GB2312" w:cs="仿宋_GB2312"/>
          <w:sz w:val="32"/>
          <w:szCs w:val="32"/>
        </w:rPr>
        <w:t>级别-姓名-申报专业-编号。标识条要求白纸黑字清晰打印。</w:t>
      </w:r>
    </w:p>
    <w:p>
      <w:pPr>
        <w:spacing w:line="580" w:lineRule="exact"/>
        <w:ind w:firstLine="643" w:firstLineChars="200"/>
        <w:rPr>
          <w:rFonts w:hint="eastAsia" w:ascii="仿宋_GB2312" w:hAnsi="Times New Roman" w:eastAsia="仿宋_GB2312" w:cs="仿宋_GB2312"/>
          <w:bCs/>
          <w:sz w:val="32"/>
          <w:szCs w:val="32"/>
          <w:lang w:val="en-US" w:eastAsia="zh-CN"/>
        </w:rPr>
      </w:pPr>
      <w:r>
        <w:rPr>
          <w:rFonts w:hint="eastAsia" w:ascii="Times New Roman" w:hAnsi="Times New Roman" w:eastAsia="仿宋_GB2312" w:cs="Times New Roman"/>
          <w:b/>
          <w:bCs/>
          <w:sz w:val="32"/>
          <w:szCs w:val="32"/>
        </w:rPr>
        <w:t>9.《2020年台山市中小学教师职称评审申报人员名册表》</w:t>
      </w:r>
      <w:r>
        <w:rPr>
          <w:rFonts w:hint="eastAsia" w:ascii="Times New Roman" w:hAnsi="Times New Roman" w:eastAsia="仿宋_GB2312" w:cs="仿宋_GB2312"/>
          <w:bCs/>
          <w:sz w:val="32"/>
          <w:szCs w:val="32"/>
        </w:rPr>
        <w:t>此表由各学校汇总本学校（单位）申报人员信息，</w:t>
      </w:r>
      <w:r>
        <w:rPr>
          <w:rFonts w:hint="eastAsia" w:ascii="Times New Roman" w:hAnsi="Times New Roman" w:eastAsia="仿宋_GB2312" w:cs="仿宋_GB2312"/>
          <w:bCs/>
          <w:sz w:val="32"/>
          <w:szCs w:val="32"/>
          <w:lang w:eastAsia="zh-CN"/>
        </w:rPr>
        <w:t>发电子版到邮箱：</w:t>
      </w:r>
      <w:r>
        <w:rPr>
          <w:rFonts w:hint="eastAsia" w:ascii="Times New Roman" w:hAnsi="Times New Roman" w:eastAsia="仿宋_GB2312" w:cs="仿宋_GB2312"/>
          <w:bCs/>
          <w:sz w:val="32"/>
          <w:szCs w:val="32"/>
          <w:lang w:val="en-US" w:eastAsia="zh-CN"/>
        </w:rPr>
        <w:t>tsjyjlmz@126.com</w:t>
      </w:r>
      <w:r>
        <w:rPr>
          <w:rFonts w:hint="eastAsia" w:ascii="Times New Roman" w:hAnsi="Times New Roman" w:eastAsia="仿宋_GB2312" w:cs="仿宋_GB2312"/>
          <w:bCs/>
          <w:sz w:val="32"/>
          <w:szCs w:val="32"/>
        </w:rPr>
        <w:t>。</w:t>
      </w:r>
      <w:r>
        <w:rPr>
          <w:rFonts w:hint="eastAsia" w:ascii="仿宋_GB2312" w:hAnsi="Times New Roman" w:eastAsia="仿宋_GB2312" w:cs="仿宋_GB2312"/>
          <w:bCs/>
          <w:sz w:val="32"/>
          <w:szCs w:val="32"/>
        </w:rPr>
        <w:t>其中专业分类参照《2020年台山市中小学职称名册表专业分类目录表》(附件7中的</w:t>
      </w:r>
      <w:r>
        <w:rPr>
          <w:rFonts w:hint="eastAsia" w:ascii="仿宋_GB2312" w:hAnsi="Times New Roman" w:eastAsia="仿宋_GB2312" w:cs="仿宋_GB2312"/>
          <w:bCs/>
          <w:sz w:val="32"/>
          <w:szCs w:val="32"/>
          <w:lang w:val="en-US" w:eastAsia="zh-CN"/>
        </w:rPr>
        <w:t>8</w:t>
      </w:r>
      <w:r>
        <w:rPr>
          <w:rFonts w:hint="eastAsia" w:ascii="仿宋_GB2312" w:hAnsi="Times New Roman" w:eastAsia="仿宋_GB2312" w:cs="仿宋_GB2312"/>
          <w:bCs/>
          <w:sz w:val="32"/>
          <w:szCs w:val="32"/>
        </w:rPr>
        <w:t>-2)。</w:t>
      </w:r>
      <w:r>
        <w:rPr>
          <w:rFonts w:hint="eastAsia" w:ascii="仿宋_GB2312" w:hAnsi="Times New Roman" w:eastAsia="仿宋_GB2312" w:cs="仿宋_GB2312"/>
          <w:bCs/>
          <w:sz w:val="32"/>
          <w:szCs w:val="32"/>
          <w:lang w:val="en-US" w:eastAsia="zh-CN"/>
        </w:rPr>
        <w:t xml:space="preserve"> </w:t>
      </w:r>
    </w:p>
    <w:p>
      <w:pPr>
        <w:spacing w:line="580" w:lineRule="exact"/>
        <w:ind w:firstLine="643" w:firstLineChars="200"/>
        <w:rPr>
          <w:rFonts w:hint="eastAsia"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10.《中小学教师职称（职务）评聘岗位使用情况表》</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以上材料1-7按顺序整理，放申报人个人材料袋内；</w:t>
      </w:r>
      <w:bookmarkStart w:id="0" w:name="_GoBack"/>
      <w:bookmarkEnd w:id="0"/>
      <w:r>
        <w:rPr>
          <w:rFonts w:hint="eastAsia" w:ascii="Times New Roman" w:hAnsi="Times New Roman" w:eastAsia="仿宋_GB2312" w:cs="Times New Roman"/>
          <w:sz w:val="32"/>
          <w:szCs w:val="32"/>
        </w:rPr>
        <w:t>8贴</w:t>
      </w:r>
      <w:r>
        <w:rPr>
          <w:rFonts w:hint="eastAsia" w:ascii="Times New Roman" w:hAnsi="Times New Roman" w:eastAsia="仿宋_GB2312" w:cs="仿宋_GB2312"/>
          <w:sz w:val="32"/>
          <w:szCs w:val="32"/>
        </w:rPr>
        <w:t>个人申报材料袋封面目录顶部、材料袋底部</w:t>
      </w:r>
      <w:r>
        <w:rPr>
          <w:rFonts w:hint="eastAsia" w:ascii="Times New Roman" w:hAnsi="Times New Roman" w:eastAsia="仿宋_GB2312" w:cs="Times New Roman"/>
          <w:sz w:val="32"/>
          <w:szCs w:val="32"/>
        </w:rPr>
        <w:t>；1（3）《推荐表》的15份</w:t>
      </w:r>
      <w:r>
        <w:rPr>
          <w:rFonts w:hint="eastAsia" w:ascii="Times New Roman" w:hAnsi="Times New Roman" w:eastAsia="仿宋_GB2312" w:cs="仿宋_GB2312"/>
          <w:sz w:val="32"/>
          <w:szCs w:val="32"/>
        </w:rPr>
        <w:t>复印件由各学校（单位）收集</w:t>
      </w:r>
      <w:r>
        <w:rPr>
          <w:rFonts w:hint="eastAsia" w:ascii="Times New Roman" w:hAnsi="Times New Roman" w:eastAsia="仿宋_GB2312" w:cs="Times New Roman"/>
          <w:sz w:val="32"/>
          <w:szCs w:val="32"/>
        </w:rPr>
        <w:t>。</w:t>
      </w:r>
    </w:p>
    <w:p>
      <w:pPr>
        <w:spacing w:line="580" w:lineRule="exact"/>
        <w:ind w:firstLine="723" w:firstLineChars="200"/>
        <w:rPr>
          <w:rFonts w:ascii="黑体" w:hAnsi="黑体" w:eastAsia="黑体" w:cs="Times New Roman"/>
          <w:sz w:val="36"/>
          <w:szCs w:val="36"/>
        </w:rPr>
      </w:pPr>
      <w:r>
        <w:rPr>
          <w:rFonts w:hint="eastAsia" w:ascii="黑体" w:hAnsi="黑体" w:eastAsia="黑体" w:cs="仿宋_GB2312"/>
          <w:b/>
          <w:bCs/>
          <w:sz w:val="36"/>
          <w:szCs w:val="36"/>
        </w:rPr>
        <w:t>三、</w:t>
      </w:r>
      <w:r>
        <w:rPr>
          <w:rFonts w:hint="eastAsia" w:ascii="黑体" w:hAnsi="黑体" w:eastAsia="黑体" w:cs="Times New Roman"/>
          <w:sz w:val="36"/>
          <w:szCs w:val="36"/>
        </w:rPr>
        <w:t>广东省专业技术人才职称管理系统申报要求</w:t>
      </w:r>
    </w:p>
    <w:p>
      <w:pPr>
        <w:spacing w:line="580" w:lineRule="exact"/>
        <w:ind w:firstLine="643" w:firstLineChars="200"/>
        <w:rPr>
          <w:rFonts w:ascii="仿宋_GB2312" w:hAnsi="黑体" w:eastAsia="仿宋_GB2312" w:cs="Times New Roman"/>
          <w:b/>
          <w:sz w:val="32"/>
          <w:szCs w:val="32"/>
        </w:rPr>
      </w:pPr>
      <w:r>
        <w:rPr>
          <w:rFonts w:hint="eastAsia" w:ascii="仿宋_GB2312" w:hAnsi="黑体" w:eastAsia="仿宋_GB2312" w:cs="Times New Roman"/>
          <w:b/>
          <w:sz w:val="32"/>
          <w:szCs w:val="32"/>
        </w:rPr>
        <w:t>（一）申报人在线申报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申报人需登录广东省专业技术人才职称管理系统（</w:t>
      </w:r>
      <w:r>
        <w:rPr>
          <w:rFonts w:ascii="仿宋_GB2312" w:hAnsi="仿宋_GB2312" w:eastAsia="仿宋_GB2312" w:cs="仿宋_GB2312"/>
          <w:sz w:val="32"/>
          <w:szCs w:val="32"/>
        </w:rPr>
        <w:t>http://www.gdhrss.gov.cn/gdweb/ggfw/web/pub/ggfwzyjs.do</w:t>
      </w:r>
      <w:r>
        <w:rPr>
          <w:rFonts w:hint="eastAsia" w:ascii="仿宋_GB2312" w:hAnsi="仿宋_GB2312" w:eastAsia="仿宋_GB2312" w:cs="仿宋_GB2312"/>
          <w:sz w:val="32"/>
          <w:szCs w:val="32"/>
        </w:rPr>
        <w:t>），按要求填报信息并提交评审申请，申报个人操作手册可在《广东省专业技术人才职称管理系统》文件下载栏目下载。申报人需在11月28日前将个人申报申请提交至申报单位（学校）审核。</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注意：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1.“申报资格名称”需规范填写，统一填写“学段+学科+等级”，如“高中语文一级教师”。</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2.申报中小学中级、初级职称评审的教师，</w:t>
      </w:r>
      <w:r>
        <w:rPr>
          <w:rFonts w:hint="eastAsia" w:ascii="仿宋_GB2312" w:hAnsi="仿宋_GB2312" w:eastAsia="仿宋_GB2312" w:cs="仿宋_GB2312"/>
          <w:b/>
          <w:sz w:val="32"/>
          <w:szCs w:val="32"/>
        </w:rPr>
        <w:t>网上申报时“评审委员会”统一选择“台山市中小学一级职称评审委员会”</w:t>
      </w:r>
      <w:r>
        <w:rPr>
          <w:rFonts w:hint="eastAsia" w:ascii="仿宋_GB2312" w:hAnsi="仿宋_GB2312" w:eastAsia="仿宋_GB2312" w:cs="仿宋_GB2312"/>
          <w:sz w:val="32"/>
          <w:szCs w:val="32"/>
        </w:rPr>
        <w:t>。</w:t>
      </w:r>
    </w:p>
    <w:p>
      <w:pPr>
        <w:spacing w:line="580" w:lineRule="exact"/>
        <w:ind w:firstLine="643" w:firstLineChars="200"/>
        <w:rPr>
          <w:rFonts w:ascii="仿宋_GB2312" w:hAnsi="黑体" w:eastAsia="仿宋_GB2312" w:cs="Times New Roman"/>
          <w:b/>
          <w:sz w:val="32"/>
          <w:szCs w:val="32"/>
        </w:rPr>
      </w:pPr>
      <w:r>
        <w:rPr>
          <w:rFonts w:hint="eastAsia" w:ascii="仿宋_GB2312" w:hAnsi="黑体" w:eastAsia="仿宋_GB2312" w:cs="Times New Roman"/>
          <w:b/>
          <w:sz w:val="32"/>
          <w:szCs w:val="32"/>
        </w:rPr>
        <w:t>（二）申报人所在单位审核</w:t>
      </w:r>
    </w:p>
    <w:p>
      <w:pPr>
        <w:spacing w:line="58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申报人所在单位对其提交的申报材料一致性、合规性、完整性等进行审查把关，</w:t>
      </w:r>
      <w:r>
        <w:rPr>
          <w:rFonts w:hint="eastAsia" w:ascii="仿宋_GB2312" w:hAnsi="仿宋_GB2312" w:eastAsia="仿宋_GB2312" w:cs="仿宋_GB2312"/>
          <w:b/>
          <w:sz w:val="32"/>
          <w:szCs w:val="32"/>
          <w:u w:val="single"/>
        </w:rPr>
        <w:t>经台山市中小学一级职称评审委员会评审,公示通过人员名单后，将通过人员的评审申请</w:t>
      </w:r>
      <w:r>
        <w:rPr>
          <w:rFonts w:hint="eastAsia" w:ascii="仿宋_GB2312" w:hAnsi="黑体" w:eastAsia="仿宋_GB2312" w:cs="Times New Roman"/>
          <w:b/>
          <w:sz w:val="32"/>
          <w:szCs w:val="32"/>
          <w:u w:val="single"/>
        </w:rPr>
        <w:t>提交教育局审核。</w:t>
      </w:r>
      <w:r>
        <w:rPr>
          <w:rFonts w:hint="eastAsia" w:ascii="仿宋_GB2312" w:hAnsi="黑体" w:eastAsia="仿宋_GB2312" w:cs="Times New Roman"/>
          <w:sz w:val="32"/>
          <w:szCs w:val="32"/>
        </w:rPr>
        <w:t>经评委会评审未通过人员的评审申请不需提交教育局审核，予以退回申报人或办结处理。</w:t>
      </w:r>
    </w:p>
    <w:p>
      <w:pPr>
        <w:spacing w:line="580" w:lineRule="exact"/>
        <w:ind w:firstLine="643" w:firstLineChars="200"/>
        <w:rPr>
          <w:rFonts w:ascii="仿宋_GB2312" w:hAnsi="黑体" w:eastAsia="仿宋_GB2312" w:cs="Times New Roman"/>
          <w:b/>
          <w:sz w:val="32"/>
          <w:szCs w:val="32"/>
        </w:rPr>
      </w:pPr>
      <w:r>
        <w:rPr>
          <w:rFonts w:hint="eastAsia" w:ascii="仿宋_GB2312" w:hAnsi="黑体" w:eastAsia="仿宋_GB2312" w:cs="Times New Roman"/>
          <w:b/>
          <w:sz w:val="32"/>
          <w:szCs w:val="32"/>
        </w:rPr>
        <w:t>（三）教育局审核</w:t>
      </w:r>
    </w:p>
    <w:p>
      <w:pPr>
        <w:spacing w:line="58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教育局对申报单位提交的申报材料进行再次进行审查把关，确认提交的评审申请无误后，提交评委会审核。</w:t>
      </w:r>
    </w:p>
    <w:p>
      <w:pPr>
        <w:spacing w:line="580" w:lineRule="exact"/>
        <w:ind w:firstLine="643" w:firstLineChars="200"/>
        <w:rPr>
          <w:rFonts w:ascii="仿宋_GB2312" w:hAnsi="仿宋_GB2312" w:eastAsia="仿宋_GB2312" w:cs="仿宋_GB2312"/>
          <w:sz w:val="32"/>
          <w:szCs w:val="32"/>
        </w:rPr>
      </w:pPr>
      <w:r>
        <w:rPr>
          <w:rFonts w:hint="eastAsia" w:ascii="仿宋_GB2312" w:hAnsi="黑体" w:eastAsia="仿宋_GB2312" w:cs="Times New Roman"/>
          <w:b/>
          <w:sz w:val="32"/>
          <w:szCs w:val="32"/>
        </w:rPr>
        <w:t>申报人所在单位及教育局的审核工作，需在评委会评审结束、发布评审结果公示起三天内完成，</w:t>
      </w:r>
      <w:r>
        <w:rPr>
          <w:rFonts w:hint="eastAsia" w:ascii="仿宋_GB2312" w:hAnsi="仿宋_GB2312" w:eastAsia="仿宋_GB2312" w:cs="仿宋_GB2312"/>
          <w:b/>
          <w:sz w:val="32"/>
          <w:szCs w:val="32"/>
        </w:rPr>
        <w:t>逾期提交的申请将不予受理</w:t>
      </w:r>
      <w:r>
        <w:rPr>
          <w:rFonts w:hint="eastAsia" w:ascii="仿宋_GB2312" w:hAnsi="仿宋_GB2312" w:eastAsia="仿宋_GB2312" w:cs="仿宋_GB2312"/>
          <w:sz w:val="32"/>
          <w:szCs w:val="32"/>
        </w:rPr>
        <w:t>，若由于各单位不能按时提交评审申请，导致影响生成申报人职称证书，所产生的相关责任由相应单位负责。</w:t>
      </w:r>
    </w:p>
    <w:p/>
    <w:sectPr>
      <w:footerReference r:id="rId3" w:type="default"/>
      <w:pgSz w:w="11906" w:h="16838"/>
      <w:pgMar w:top="1417" w:right="1474"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w:fldChar w:fldCharType="begin"/>
    </w:r>
    <w:r>
      <w:instrText xml:space="preserve"> PAGE   \* MERGEFORMAT </w:instrText>
    </w:r>
    <w:r>
      <w:fldChar w:fldCharType="separate"/>
    </w:r>
    <w:r>
      <w:rPr>
        <w:lang w:val="zh-CN"/>
      </w:rPr>
      <w:t>2</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5E12"/>
    <w:rsid w:val="00037345"/>
    <w:rsid w:val="00093AFE"/>
    <w:rsid w:val="00094E3E"/>
    <w:rsid w:val="000B6659"/>
    <w:rsid w:val="000C41F1"/>
    <w:rsid w:val="000E42DE"/>
    <w:rsid w:val="00105DF5"/>
    <w:rsid w:val="001827D3"/>
    <w:rsid w:val="001C4F6D"/>
    <w:rsid w:val="001C6E41"/>
    <w:rsid w:val="001F60F2"/>
    <w:rsid w:val="00217186"/>
    <w:rsid w:val="002448B4"/>
    <w:rsid w:val="00250DF5"/>
    <w:rsid w:val="00293ABA"/>
    <w:rsid w:val="002D0BB0"/>
    <w:rsid w:val="002D5219"/>
    <w:rsid w:val="00367AC0"/>
    <w:rsid w:val="003E3566"/>
    <w:rsid w:val="004116E8"/>
    <w:rsid w:val="00474C00"/>
    <w:rsid w:val="004C658A"/>
    <w:rsid w:val="004C78EB"/>
    <w:rsid w:val="005076CE"/>
    <w:rsid w:val="00523998"/>
    <w:rsid w:val="00532E28"/>
    <w:rsid w:val="005423CC"/>
    <w:rsid w:val="00557EFE"/>
    <w:rsid w:val="0056513F"/>
    <w:rsid w:val="005D1FB2"/>
    <w:rsid w:val="00620F5D"/>
    <w:rsid w:val="00631AFE"/>
    <w:rsid w:val="00667642"/>
    <w:rsid w:val="00675F58"/>
    <w:rsid w:val="006B07B0"/>
    <w:rsid w:val="006C58CE"/>
    <w:rsid w:val="007379B8"/>
    <w:rsid w:val="00754999"/>
    <w:rsid w:val="007B2B05"/>
    <w:rsid w:val="007B5553"/>
    <w:rsid w:val="007D2C85"/>
    <w:rsid w:val="007F1FE7"/>
    <w:rsid w:val="00840801"/>
    <w:rsid w:val="008C3FC8"/>
    <w:rsid w:val="008F0623"/>
    <w:rsid w:val="00975553"/>
    <w:rsid w:val="00986D8A"/>
    <w:rsid w:val="00A45E62"/>
    <w:rsid w:val="00A76BC1"/>
    <w:rsid w:val="00AA07B2"/>
    <w:rsid w:val="00AA3187"/>
    <w:rsid w:val="00AA7872"/>
    <w:rsid w:val="00AB4AA1"/>
    <w:rsid w:val="00AE2EAC"/>
    <w:rsid w:val="00B205F4"/>
    <w:rsid w:val="00B501F7"/>
    <w:rsid w:val="00B53741"/>
    <w:rsid w:val="00B56950"/>
    <w:rsid w:val="00B60B56"/>
    <w:rsid w:val="00C17FCD"/>
    <w:rsid w:val="00C27BCA"/>
    <w:rsid w:val="00C60DFA"/>
    <w:rsid w:val="00CE6DA8"/>
    <w:rsid w:val="00D7233D"/>
    <w:rsid w:val="00D97C19"/>
    <w:rsid w:val="00DB7B86"/>
    <w:rsid w:val="00DF4477"/>
    <w:rsid w:val="00E03A54"/>
    <w:rsid w:val="00E05CED"/>
    <w:rsid w:val="00E20E2C"/>
    <w:rsid w:val="00E262BF"/>
    <w:rsid w:val="00E718A7"/>
    <w:rsid w:val="00E96B6E"/>
    <w:rsid w:val="00FA7FF9"/>
    <w:rsid w:val="00FB7A42"/>
    <w:rsid w:val="00FC5E12"/>
    <w:rsid w:val="00FD5311"/>
    <w:rsid w:val="0A4E59F3"/>
    <w:rsid w:val="21FA480F"/>
    <w:rsid w:val="26834FA1"/>
    <w:rsid w:val="35066256"/>
    <w:rsid w:val="570C72E2"/>
    <w:rsid w:val="5F285C55"/>
    <w:rsid w:val="682913FE"/>
    <w:rsid w:val="7C0B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file:///C:\Users\Administrator\AppData\Roaming\Tencent\Users\604578473\QQ\WinTemp\RichOle\OGST5$B1ONJK(@()OH~B%25257b%25255dQ.png"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10</Pages>
  <Words>600</Words>
  <Characters>3421</Characters>
  <Lines>28</Lines>
  <Paragraphs>8</Paragraphs>
  <TotalTime>110</TotalTime>
  <ScaleCrop>false</ScaleCrop>
  <LinksUpToDate>false</LinksUpToDate>
  <CharactersWithSpaces>4013</CharactersWithSpaces>
  <Application>WPS Office_11.1.0.9996_F1E327BC-269C-435d-A152-05C5408002CA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2020-08-21T09:45:00Z</dcterms:created>
  <dc:creator>易嘉颖</dc:creator>
  <cp:lastModifiedBy>Zee</cp:lastModifiedBy>
  <dcterms:modified xsi:type="dcterms:W3CDTF">2020-10-29T03:02:01Z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